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主题团日活动设计大赛初赛评分标准</w:t>
      </w:r>
    </w:p>
    <w:p>
      <w:pPr>
        <w:spacing w:line="4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一、概述</w:t>
      </w:r>
    </w:p>
    <w:p>
      <w:pPr>
        <w:widowControl/>
        <w:tabs>
          <w:tab w:val="right" w:leader="dot" w:pos="8280"/>
        </w:tabs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团日活动设计方案展示从团支部</w:t>
      </w:r>
      <w:r>
        <w:rPr>
          <w:rFonts w:hint="eastAsia" w:ascii="仿宋" w:hAnsi="仿宋" w:eastAsia="仿宋" w:cs="Times New Roman"/>
          <w:sz w:val="28"/>
          <w:szCs w:val="28"/>
        </w:rPr>
        <w:t>主题团日活动策划书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hint="eastAsia" w:ascii="仿宋" w:hAnsi="仿宋" w:eastAsia="仿宋" w:cs="Times New Roman"/>
          <w:sz w:val="28"/>
          <w:szCs w:val="28"/>
        </w:rPr>
        <w:t>现场展示</w:t>
      </w:r>
      <w:r>
        <w:rPr>
          <w:rFonts w:hint="eastAsia" w:ascii="仿宋" w:hAnsi="仿宋" w:eastAsia="仿宋"/>
          <w:sz w:val="28"/>
          <w:szCs w:val="28"/>
        </w:rPr>
        <w:t>两个部分进行评分，两部分满分均为1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分，第一部分占比60%，第二部分占比40%。</w:t>
      </w:r>
      <w:r>
        <w:rPr>
          <w:rFonts w:hint="eastAsia" w:ascii="仿宋" w:hAnsi="仿宋" w:eastAsia="仿宋" w:cs="Times New Roman"/>
          <w:sz w:val="28"/>
          <w:szCs w:val="28"/>
        </w:rPr>
        <w:t>主题团日活动策划书</w:t>
      </w:r>
      <w:r>
        <w:rPr>
          <w:rFonts w:hint="eastAsia" w:ascii="仿宋" w:hAnsi="仿宋" w:eastAsia="仿宋"/>
          <w:sz w:val="28"/>
          <w:szCs w:val="28"/>
        </w:rPr>
        <w:t>包括：活动思想导向（3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分）、活动可行性和创新性（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0分）、活动内容（</w:t>
      </w:r>
      <w:r>
        <w:rPr>
          <w:rFonts w:ascii="仿宋" w:hAnsi="仿宋" w:eastAsia="仿宋"/>
          <w:sz w:val="28"/>
          <w:szCs w:val="28"/>
        </w:rPr>
        <w:t>40</w:t>
      </w:r>
      <w:r>
        <w:rPr>
          <w:rFonts w:hint="eastAsia" w:ascii="仿宋" w:hAnsi="仿宋" w:eastAsia="仿宋"/>
          <w:sz w:val="28"/>
          <w:szCs w:val="28"/>
        </w:rPr>
        <w:t>分）、写作规范（1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分）四个方面。现场展示包括：</w:t>
      </w:r>
      <w:r>
        <w:rPr>
          <w:rFonts w:hint="eastAsia" w:ascii="仿宋" w:hAnsi="仿宋" w:eastAsia="仿宋"/>
          <w:sz w:val="28"/>
          <w:szCs w:val="28"/>
          <w:lang w:eastAsia="zh-CN"/>
        </w:rPr>
        <w:t>展示</w:t>
      </w:r>
      <w:r>
        <w:rPr>
          <w:rFonts w:hint="eastAsia" w:ascii="仿宋" w:hAnsi="仿宋" w:eastAsia="仿宋"/>
          <w:sz w:val="28"/>
          <w:szCs w:val="28"/>
        </w:rPr>
        <w:t>主题与内容（</w:t>
      </w:r>
      <w:r>
        <w:rPr>
          <w:rFonts w:ascii="仿宋" w:hAnsi="仿宋" w:eastAsia="仿宋"/>
          <w:sz w:val="28"/>
          <w:szCs w:val="28"/>
        </w:rPr>
        <w:t>40</w:t>
      </w:r>
      <w:r>
        <w:rPr>
          <w:rFonts w:hint="eastAsia" w:ascii="仿宋" w:hAnsi="仿宋" w:eastAsia="仿宋"/>
          <w:sz w:val="28"/>
          <w:szCs w:val="28"/>
        </w:rPr>
        <w:t>分）、现场展示表现（30分）、问题解答表现（30分）三个方面。各方面由评委打分后，去掉一个最高分和一个最低分，汇总后取平均分。</w:t>
      </w:r>
    </w:p>
    <w:p>
      <w:pPr>
        <w:widowControl/>
        <w:tabs>
          <w:tab w:val="right" w:leader="dot" w:pos="8280"/>
        </w:tabs>
        <w:spacing w:line="4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注：</w:t>
      </w:r>
      <w:r>
        <w:rPr>
          <w:rFonts w:hint="eastAsia" w:ascii="仿宋" w:hAnsi="仿宋" w:eastAsia="仿宋"/>
          <w:sz w:val="28"/>
          <w:szCs w:val="28"/>
        </w:rPr>
        <w:t>若出现重分现象，则比较第一高分，分高者排名靠前；若第一高分相同，则比较第二高分，分高者排名靠前，以此类推。</w:t>
      </w:r>
    </w:p>
    <w:p>
      <w:pPr>
        <w:widowControl/>
        <w:tabs>
          <w:tab w:val="right" w:leader="dot" w:pos="8280"/>
        </w:tabs>
        <w:spacing w:line="4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二、细则</w:t>
      </w:r>
    </w:p>
    <w:p>
      <w:pPr>
        <w:spacing w:line="460" w:lineRule="exact"/>
        <w:ind w:firstLine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（一）主题团日活动策划书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思想导向（</w:t>
      </w:r>
      <w:r>
        <w:rPr>
          <w:rFonts w:ascii="仿宋" w:hAnsi="仿宋" w:eastAsia="仿宋"/>
          <w:b/>
          <w:bCs/>
          <w:sz w:val="28"/>
          <w:szCs w:val="28"/>
        </w:rPr>
        <w:t>30</w:t>
      </w:r>
      <w:r>
        <w:rPr>
          <w:rFonts w:hint="eastAsia" w:ascii="仿宋" w:hAnsi="仿宋" w:eastAsia="仿宋"/>
          <w:b/>
          <w:bCs/>
          <w:sz w:val="28"/>
          <w:szCs w:val="28"/>
        </w:rPr>
        <w:t>分）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要求团支部活动策划背景、主题、目的等方面思想导向积极健康，体现贯彻习近平总书记“七一”重要讲话精神。以团日活动的形式推进广大青年深刻学习把握“四史”精神蕴含与“七一”精神的思想内涵，引导团员青年筑牢理想信念之基，牢记担当使命，始终砥砺前行。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活动可行性与创新性（</w:t>
      </w: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分）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（1）团日活动内容及形式切实可行，不搞“假、大、空”；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（2）切实有助于提高团支部凝聚力、向心力；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（3）团日活动形式新颖、设计合理；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（4）设计内容与思想导向、实际情况紧密结合。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3.</w:t>
      </w:r>
      <w:r>
        <w:rPr>
          <w:rFonts w:hint="eastAsia" w:ascii="仿宋" w:hAnsi="仿宋" w:eastAsia="仿宋"/>
          <w:b/>
          <w:sz w:val="28"/>
          <w:szCs w:val="28"/>
        </w:rPr>
        <w:t>活动内容（</w:t>
      </w:r>
      <w:r>
        <w:rPr>
          <w:rFonts w:ascii="仿宋" w:hAnsi="仿宋" w:eastAsia="仿宋"/>
          <w:b/>
          <w:sz w:val="28"/>
          <w:szCs w:val="28"/>
        </w:rPr>
        <w:t>40</w:t>
      </w:r>
      <w:r>
        <w:rPr>
          <w:rFonts w:hint="eastAsia" w:ascii="仿宋" w:hAnsi="仿宋" w:eastAsia="仿宋"/>
          <w:b/>
          <w:sz w:val="28"/>
          <w:szCs w:val="28"/>
        </w:rPr>
        <w:t>分）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活动内容紧扣主题，以建党一百周年为背景，引领广大学子学“四史”、强信念，带领团员青年增强“四个意识”，坚定“四个自信”，做到“两个维护”，展现团支部思想引领作用，引导支部内团员青年树立坚定的理想信念，加强支部建设，提升支部凝聚力，以实际行动做到守初心、传薪火、担使命。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4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写作规范（1</w:t>
      </w:r>
      <w:r>
        <w:rPr>
          <w:rFonts w:ascii="仿宋" w:hAnsi="仿宋" w:eastAsia="仿宋"/>
          <w:b/>
          <w:bCs/>
          <w:sz w:val="28"/>
          <w:szCs w:val="28"/>
        </w:rPr>
        <w:t>0</w:t>
      </w:r>
      <w:r>
        <w:rPr>
          <w:rFonts w:hint="eastAsia" w:ascii="仿宋" w:hAnsi="仿宋" w:eastAsia="仿宋"/>
          <w:b/>
          <w:bCs/>
          <w:sz w:val="28"/>
          <w:szCs w:val="28"/>
        </w:rPr>
        <w:t>分）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策划结构严谨，层次明晰，格式美观，重点突出。</w:t>
      </w:r>
    </w:p>
    <w:p>
      <w:pPr>
        <w:spacing w:line="460" w:lineRule="exact"/>
        <w:ind w:firstLine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楷体" w:hAnsi="楷体" w:eastAsia="楷体"/>
          <w:b/>
          <w:sz w:val="28"/>
          <w:szCs w:val="28"/>
        </w:rPr>
        <w:t>（二）现场展示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1.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展示</w:t>
      </w:r>
      <w:r>
        <w:rPr>
          <w:rFonts w:hint="eastAsia" w:ascii="仿宋" w:hAnsi="仿宋" w:eastAsia="仿宋"/>
          <w:b/>
          <w:bCs/>
          <w:sz w:val="28"/>
          <w:szCs w:val="28"/>
        </w:rPr>
        <w:t>主题与内容（</w:t>
      </w:r>
      <w:r>
        <w:rPr>
          <w:rFonts w:ascii="仿宋" w:hAnsi="仿宋" w:eastAsia="仿宋"/>
          <w:b/>
          <w:bCs/>
          <w:sz w:val="28"/>
          <w:szCs w:val="28"/>
        </w:rPr>
        <w:t>4</w:t>
      </w:r>
      <w:r>
        <w:rPr>
          <w:rFonts w:hint="eastAsia" w:ascii="仿宋" w:hAnsi="仿宋" w:eastAsia="仿宋"/>
          <w:b/>
          <w:bCs/>
          <w:sz w:val="28"/>
          <w:szCs w:val="28"/>
        </w:rPr>
        <w:t>0分）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活动内容紧扣主题，以建党一百周年为背景，引领广大学子学“四史”、强信念，展现团支部思想引领作用，引导支部内团员青年树立坚定的理想信念，加强支部建设，提升支部凝聚力，以实际行动做到守初心、传薪火、担使命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（2）活动内容形式多样，贴近团员生活，富有教育意义，在引领、凝聚、服务同学方面有积极的作用；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（3）活动主题与内容体现新青年的广阔视野与开阔思想。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ascii="仿宋" w:hAnsi="仿宋" w:eastAsia="仿宋"/>
          <w:b/>
          <w:bCs/>
          <w:sz w:val="28"/>
          <w:szCs w:val="28"/>
        </w:rPr>
        <w:t>.现场</w:t>
      </w:r>
      <w:r>
        <w:rPr>
          <w:rFonts w:hint="eastAsia" w:ascii="仿宋" w:hAnsi="仿宋" w:eastAsia="仿宋"/>
          <w:b/>
          <w:bCs/>
          <w:sz w:val="28"/>
          <w:szCs w:val="28"/>
        </w:rPr>
        <w:t>展示表现（3</w:t>
      </w:r>
      <w:r>
        <w:rPr>
          <w:rFonts w:ascii="仿宋" w:hAnsi="仿宋" w:eastAsia="仿宋"/>
          <w:b/>
          <w:bCs/>
          <w:sz w:val="28"/>
          <w:szCs w:val="28"/>
        </w:rPr>
        <w:t>0</w:t>
      </w:r>
      <w:r>
        <w:rPr>
          <w:rFonts w:hint="eastAsia" w:ascii="仿宋" w:hAnsi="仿宋" w:eastAsia="仿宋"/>
          <w:b/>
          <w:bCs/>
          <w:sz w:val="28"/>
          <w:szCs w:val="28"/>
        </w:rPr>
        <w:t>分）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1）</w:t>
      </w:r>
      <w:r>
        <w:rPr>
          <w:rFonts w:hint="eastAsia" w:ascii="仿宋" w:hAnsi="仿宋" w:eastAsia="仿宋"/>
          <w:sz w:val="28"/>
          <w:szCs w:val="28"/>
        </w:rPr>
        <w:t>展示人员穿着得体、精神饱满；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2）</w:t>
      </w:r>
      <w:r>
        <w:rPr>
          <w:rFonts w:hint="eastAsia" w:ascii="仿宋" w:hAnsi="仿宋" w:eastAsia="仿宋"/>
          <w:sz w:val="28"/>
          <w:szCs w:val="28"/>
        </w:rPr>
        <w:t>展示人员思维清晰、表达准确、语言流畅、讲解到位、富有感染力；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3）</w:t>
      </w:r>
      <w:r>
        <w:rPr>
          <w:rFonts w:hint="eastAsia" w:ascii="仿宋" w:hAnsi="仿宋" w:eastAsia="仿宋"/>
          <w:sz w:val="28"/>
          <w:szCs w:val="28"/>
        </w:rPr>
        <w:t>举止得体，态度友善；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4）</w:t>
      </w:r>
      <w:r>
        <w:rPr>
          <w:rFonts w:hint="eastAsia" w:ascii="仿宋" w:hAnsi="仿宋" w:eastAsia="仿宋"/>
          <w:sz w:val="28"/>
          <w:szCs w:val="28"/>
        </w:rPr>
        <w:t>展示人员在规定时间内完成展示；</w:t>
      </w:r>
    </w:p>
    <w:p>
      <w:pPr>
        <w:spacing w:line="4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3.问题解答表现（30分）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根据评委与观众对方案提出的问题，展示者能做出明确的解答；表达准确流畅，</w:t>
      </w:r>
      <w:r>
        <w:rPr>
          <w:rFonts w:hint="eastAsia" w:ascii="仿宋" w:hAnsi="仿宋" w:eastAsia="仿宋"/>
          <w:sz w:val="28"/>
          <w:szCs w:val="28"/>
          <w:lang w:eastAsia="zh-CN"/>
        </w:rPr>
        <w:t>逻辑清晰，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有较强的吸引力。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unhideWhenUsed/>
    <w:uiPriority w:val="99"/>
    <w:rPr>
      <w:b/>
      <w:bCs/>
    </w:rPr>
  </w:style>
  <w:style w:type="paragraph" w:styleId="3">
    <w:name w:val="annotation text"/>
    <w:basedOn w:val="1"/>
    <w:link w:val="12"/>
    <w:unhideWhenUsed/>
    <w:uiPriority w:val="99"/>
    <w:pPr>
      <w:jc w:val="left"/>
    </w:pPr>
  </w:style>
  <w:style w:type="paragraph" w:styleId="4">
    <w:name w:val="Balloon Text"/>
    <w:basedOn w:val="1"/>
    <w:link w:val="14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character" w:customStyle="1" w:styleId="10">
    <w:name w:val="页眉 Char"/>
    <w:basedOn w:val="7"/>
    <w:link w:val="6"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uiPriority w:val="99"/>
    <w:rPr>
      <w:sz w:val="18"/>
      <w:szCs w:val="18"/>
    </w:rPr>
  </w:style>
  <w:style w:type="character" w:customStyle="1" w:styleId="12">
    <w:name w:val="批注文字 Char"/>
    <w:basedOn w:val="7"/>
    <w:link w:val="3"/>
    <w:semiHidden/>
    <w:uiPriority w:val="99"/>
  </w:style>
  <w:style w:type="character" w:customStyle="1" w:styleId="13">
    <w:name w:val="批注主题 Char"/>
    <w:basedOn w:val="12"/>
    <w:link w:val="2"/>
    <w:semiHidden/>
    <w:uiPriority w:val="99"/>
    <w:rPr>
      <w:b/>
      <w:bCs/>
    </w:rPr>
  </w:style>
  <w:style w:type="character" w:customStyle="1" w:styleId="14">
    <w:name w:val="批注框文本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930</Characters>
  <Lines>7</Lines>
  <Paragraphs>2</Paragraphs>
  <TotalTime>0</TotalTime>
  <ScaleCrop>false</ScaleCrop>
  <LinksUpToDate>false</LinksUpToDate>
  <CharactersWithSpaces>1090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2021-11-03T18:02:00Z</dcterms:created>
  <dc:creator>李 昕彤</dc:creator>
  <cp:lastModifiedBy>周涛涛的iPad</cp:lastModifiedBy>
  <dcterms:modified xsi:type="dcterms:W3CDTF">2021-11-09T08:06:58Z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C1D18BDD06D17F4963BB89618A8BD591</vt:lpwstr>
  </property>
  <property fmtid="{D5CDD505-2E9C-101B-9397-08002B2CF9AE}" pid="3" name="KSOProductBuildVer">
    <vt:lpwstr>2052-11.13.1</vt:lpwstr>
  </property>
</Properties>
</file>