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sz w:val="28"/>
        </w:rPr>
      </w:pPr>
      <w:r>
        <w:rPr>
          <w:b/>
          <w:sz w:val="28"/>
        </w:rPr>
        <w:t>第三届</w:t>
      </w:r>
      <w:r>
        <w:rPr>
          <w:rFonts w:hint="eastAsia"/>
          <w:b/>
          <w:sz w:val="28"/>
        </w:rPr>
        <w:t>“文澜论坛”之公共管理分论坛</w:t>
      </w:r>
      <w:r>
        <w:rPr>
          <w:rFonts w:hint="eastAsia"/>
          <w:b/>
          <w:sz w:val="28"/>
          <w:lang w:eastAsia="zh-CN"/>
        </w:rPr>
        <w:t>的</w:t>
      </w:r>
      <w:r>
        <w:rPr>
          <w:rFonts w:hint="eastAsia"/>
          <w:b/>
          <w:sz w:val="28"/>
        </w:rPr>
        <w:t>通知</w:t>
      </w:r>
    </w:p>
    <w:p>
      <w:pPr>
        <w:spacing w:line="360" w:lineRule="auto"/>
        <w:ind w:firstLine="420" w:firstLineChars="200"/>
      </w:pPr>
    </w:p>
    <w:p>
      <w:pPr>
        <w:spacing w:line="360" w:lineRule="auto"/>
        <w:ind w:firstLine="480" w:firstLineChars="200"/>
        <w:rPr>
          <w:sz w:val="24"/>
        </w:rPr>
      </w:pPr>
      <w:r>
        <w:rPr>
          <w:sz w:val="24"/>
        </w:rPr>
        <w:t>研究生</w:t>
      </w:r>
      <w:r>
        <w:rPr>
          <w:rFonts w:hint="eastAsia"/>
          <w:sz w:val="24"/>
        </w:rPr>
        <w:t>“文澜论坛”是由中南财经政法大学主办，校研究生院、党委研究生工作部承办的全国性大型综合类学术论坛，为了积极响应并深入贯彻中国共产党第十八届五中全会精神，鼓励广大博士、硕士研究生关注和研究社会现实，崇尚和追求学术创新，积极投身我国“十三五”规划建设，为全面建成小康社会贡献自己的力量，第三届研究生“文澜论坛”主题定为“新理念、</w:t>
      </w:r>
      <w:bookmarkStart w:id="0" w:name="_GoBack"/>
      <w:bookmarkEnd w:id="0"/>
      <w:r>
        <w:rPr>
          <w:rFonts w:hint="eastAsia"/>
          <w:sz w:val="24"/>
        </w:rPr>
        <w:t>新突破、新发展——‘十三五’时期的管理变革”。</w:t>
      </w:r>
    </w:p>
    <w:p>
      <w:pPr>
        <w:spacing w:line="360" w:lineRule="auto"/>
        <w:ind w:firstLine="480" w:firstLineChars="200"/>
        <w:rPr>
          <w:sz w:val="24"/>
        </w:rPr>
      </w:pPr>
      <w:r>
        <w:rPr>
          <w:sz w:val="24"/>
        </w:rPr>
        <w:t>至2016年</w:t>
      </w:r>
      <w:r>
        <w:rPr>
          <w:rFonts w:hint="eastAsia"/>
          <w:sz w:val="24"/>
        </w:rPr>
        <w:t>3月11日，本届研究生“文澜论坛”组委会共收到来自清华大学、北京大学、中国社会科学院等全国（含港澳台地区）120所高校管理学博士、硕士研究生投稿</w:t>
      </w:r>
      <w:r>
        <w:rPr>
          <w:rFonts w:hint="eastAsia"/>
          <w:sz w:val="24"/>
          <w:lang w:eastAsia="zh-CN"/>
        </w:rPr>
        <w:t>共计</w:t>
      </w:r>
      <w:r>
        <w:rPr>
          <w:rFonts w:hint="eastAsia"/>
          <w:sz w:val="24"/>
        </w:rPr>
        <w:t>750篇</w:t>
      </w:r>
      <w:r>
        <w:rPr>
          <w:rFonts w:hint="eastAsia"/>
          <w:sz w:val="24"/>
          <w:lang w:eastAsia="zh-CN"/>
        </w:rPr>
        <w:t>。</w:t>
      </w:r>
      <w:r>
        <w:rPr>
          <w:sz w:val="24"/>
        </w:rPr>
        <w:t>学校管理学及相关学科的知名博士生导师组成的论坛评审委员会对所收稿件进行了匿名评审</w:t>
      </w:r>
      <w:r>
        <w:rPr>
          <w:rFonts w:hint="eastAsia"/>
          <w:sz w:val="24"/>
        </w:rPr>
        <w:t>，</w:t>
      </w:r>
      <w:r>
        <w:rPr>
          <w:sz w:val="24"/>
        </w:rPr>
        <w:t>根据公平</w:t>
      </w:r>
      <w:r>
        <w:rPr>
          <w:rFonts w:hint="eastAsia"/>
          <w:sz w:val="24"/>
        </w:rPr>
        <w:t>、</w:t>
      </w:r>
      <w:r>
        <w:rPr>
          <w:sz w:val="24"/>
        </w:rPr>
        <w:t>公正的原则</w:t>
      </w:r>
      <w:r>
        <w:rPr>
          <w:rFonts w:hint="eastAsia"/>
          <w:sz w:val="24"/>
        </w:rPr>
        <w:t>，</w:t>
      </w:r>
      <w:r>
        <w:rPr>
          <w:sz w:val="24"/>
        </w:rPr>
        <w:t>经过初审</w:t>
      </w:r>
      <w:r>
        <w:rPr>
          <w:rFonts w:hint="eastAsia"/>
          <w:sz w:val="24"/>
        </w:rPr>
        <w:t>、</w:t>
      </w:r>
      <w:r>
        <w:rPr>
          <w:sz w:val="24"/>
        </w:rPr>
        <w:t>复审</w:t>
      </w:r>
      <w:r>
        <w:rPr>
          <w:rFonts w:hint="eastAsia"/>
          <w:sz w:val="24"/>
        </w:rPr>
        <w:t>、</w:t>
      </w:r>
      <w:r>
        <w:rPr>
          <w:sz w:val="24"/>
        </w:rPr>
        <w:t>终审三个环节</w:t>
      </w:r>
      <w:r>
        <w:rPr>
          <w:rFonts w:hint="eastAsia"/>
          <w:sz w:val="24"/>
        </w:rPr>
        <w:t>，</w:t>
      </w:r>
      <w:r>
        <w:rPr>
          <w:sz w:val="24"/>
        </w:rPr>
        <w:t>最终评选出</w:t>
      </w:r>
      <w:r>
        <w:rPr>
          <w:rFonts w:hint="eastAsia"/>
          <w:sz w:val="24"/>
        </w:rPr>
        <w:t>35篇优秀论文收录成集，其中公共管理类12篇，并邀请获奖作者出席本次论坛现场活动。届时，将由</w:t>
      </w:r>
      <w:r>
        <w:rPr>
          <w:sz w:val="24"/>
        </w:rPr>
        <w:t>5</w:t>
      </w:r>
      <w:r>
        <w:rPr>
          <w:rFonts w:hint="eastAsia"/>
          <w:sz w:val="24"/>
        </w:rPr>
        <w:t>位来自不同高校的优秀作者从公共管理角度对我国管理学理论和实践进行研讨交流。</w:t>
      </w:r>
    </w:p>
    <w:p>
      <w:pPr>
        <w:spacing w:line="360" w:lineRule="auto"/>
        <w:ind w:firstLine="480" w:firstLineChars="200"/>
        <w:rPr>
          <w:sz w:val="24"/>
        </w:rPr>
      </w:pPr>
      <w:r>
        <w:rPr>
          <w:sz w:val="24"/>
        </w:rPr>
        <w:t>分论坛具体通知如下</w:t>
      </w:r>
      <w:r>
        <w:rPr>
          <w:rFonts w:hint="eastAsia"/>
          <w:sz w:val="24"/>
        </w:rPr>
        <w:t>：</w:t>
      </w:r>
    </w:p>
    <w:p>
      <w:pPr>
        <w:spacing w:line="360" w:lineRule="auto"/>
        <w:ind w:firstLine="482" w:firstLineChars="200"/>
        <w:rPr>
          <w:sz w:val="24"/>
        </w:rPr>
      </w:pPr>
      <w:r>
        <w:rPr>
          <w:b/>
          <w:sz w:val="24"/>
        </w:rPr>
        <w:t>主题</w:t>
      </w:r>
      <w:r>
        <w:rPr>
          <w:rFonts w:hint="eastAsia"/>
          <w:b/>
          <w:sz w:val="24"/>
        </w:rPr>
        <w:t>：</w:t>
      </w:r>
      <w:r>
        <w:rPr>
          <w:rFonts w:hint="eastAsia"/>
          <w:sz w:val="24"/>
        </w:rPr>
        <w:t>“新理念、新突破、新发展——‘十三五’时期的管理变革”之公共管理</w:t>
      </w:r>
    </w:p>
    <w:p>
      <w:pPr>
        <w:spacing w:line="360" w:lineRule="auto"/>
        <w:ind w:firstLine="482" w:firstLineChars="200"/>
        <w:rPr>
          <w:sz w:val="24"/>
        </w:rPr>
      </w:pPr>
      <w:r>
        <w:rPr>
          <w:b/>
          <w:sz w:val="24"/>
        </w:rPr>
        <w:t>时间</w:t>
      </w:r>
      <w:r>
        <w:rPr>
          <w:rFonts w:hint="eastAsia"/>
          <w:b/>
          <w:sz w:val="24"/>
        </w:rPr>
        <w:t>：</w:t>
      </w:r>
      <w:r>
        <w:rPr>
          <w:rFonts w:hint="eastAsia"/>
          <w:sz w:val="24"/>
        </w:rPr>
        <w:t>2</w:t>
      </w:r>
      <w:r>
        <w:rPr>
          <w:sz w:val="24"/>
        </w:rPr>
        <w:t>016年</w:t>
      </w:r>
      <w:r>
        <w:rPr>
          <w:rFonts w:hint="eastAsia"/>
          <w:sz w:val="24"/>
        </w:rPr>
        <w:t>4月22日下午14:0</w:t>
      </w:r>
      <w:r>
        <w:rPr>
          <w:sz w:val="24"/>
        </w:rPr>
        <w:t>0</w:t>
      </w:r>
    </w:p>
    <w:p>
      <w:pPr>
        <w:spacing w:line="360" w:lineRule="auto"/>
        <w:ind w:firstLine="482" w:firstLineChars="200"/>
        <w:rPr>
          <w:sz w:val="24"/>
        </w:rPr>
      </w:pPr>
      <w:r>
        <w:rPr>
          <w:b/>
          <w:sz w:val="24"/>
        </w:rPr>
        <w:t>地点</w:t>
      </w:r>
      <w:r>
        <w:rPr>
          <w:rFonts w:hint="eastAsia"/>
          <w:b/>
          <w:sz w:val="24"/>
        </w:rPr>
        <w:t>：</w:t>
      </w:r>
      <w:r>
        <w:rPr>
          <w:sz w:val="24"/>
        </w:rPr>
        <w:t>文泉楼北</w:t>
      </w:r>
      <w:r>
        <w:rPr>
          <w:rFonts w:hint="eastAsia"/>
          <w:sz w:val="24"/>
        </w:rPr>
        <w:t>208会议室</w:t>
      </w:r>
    </w:p>
    <w:p>
      <w:pPr>
        <w:spacing w:line="360" w:lineRule="auto"/>
        <w:ind w:firstLine="480" w:firstLineChars="200"/>
        <w:rPr>
          <w:sz w:val="24"/>
        </w:rPr>
      </w:pPr>
      <w:r>
        <w:rPr>
          <w:rFonts w:hint="eastAsia"/>
          <w:sz w:val="24"/>
        </w:rPr>
        <w:t>欢迎广大师生参加！</w:t>
      </w:r>
    </w:p>
    <w:p>
      <w:pPr>
        <w:spacing w:line="360" w:lineRule="auto"/>
        <w:ind w:firstLine="2168" w:firstLineChars="900"/>
        <w:rPr>
          <w:sz w:val="24"/>
        </w:rPr>
      </w:pPr>
      <w:r>
        <w:rPr>
          <w:b/>
          <w:sz w:val="24"/>
        </w:rPr>
        <w:t>主办单位</w:t>
      </w:r>
      <w:r>
        <w:rPr>
          <w:rFonts w:hint="eastAsia"/>
          <w:b/>
          <w:sz w:val="24"/>
        </w:rPr>
        <w:t>：</w:t>
      </w:r>
      <w:r>
        <w:rPr>
          <w:rFonts w:hint="eastAsia"/>
          <w:sz w:val="24"/>
        </w:rPr>
        <w:t>中南财经政法大学</w:t>
      </w:r>
    </w:p>
    <w:p>
      <w:pPr>
        <w:spacing w:line="360" w:lineRule="auto"/>
        <w:ind w:firstLine="2168" w:firstLineChars="900"/>
        <w:rPr>
          <w:sz w:val="24"/>
        </w:rPr>
      </w:pPr>
      <w:r>
        <w:rPr>
          <w:b/>
          <w:sz w:val="24"/>
        </w:rPr>
        <w:t>承办单位</w:t>
      </w:r>
      <w:r>
        <w:rPr>
          <w:rFonts w:hint="eastAsia"/>
          <w:b/>
          <w:sz w:val="24"/>
        </w:rPr>
        <w:t>：</w:t>
      </w:r>
      <w:r>
        <w:rPr>
          <w:sz w:val="24"/>
        </w:rPr>
        <w:t>中南财经政法大学研究生院</w:t>
      </w:r>
      <w:r>
        <w:rPr>
          <w:rFonts w:hint="eastAsia"/>
          <w:sz w:val="24"/>
        </w:rPr>
        <w:t>、</w:t>
      </w:r>
      <w:r>
        <w:rPr>
          <w:sz w:val="24"/>
        </w:rPr>
        <w:t>党委研究生工作部</w:t>
      </w:r>
    </w:p>
    <w:p>
      <w:pPr>
        <w:spacing w:line="360" w:lineRule="auto"/>
        <w:ind w:firstLine="2168" w:firstLineChars="900"/>
        <w:rPr>
          <w:sz w:val="24"/>
        </w:rPr>
      </w:pPr>
      <w:r>
        <w:rPr>
          <w:b/>
          <w:sz w:val="24"/>
        </w:rPr>
        <w:t>协办单位</w:t>
      </w:r>
      <w:r>
        <w:rPr>
          <w:rFonts w:hint="eastAsia"/>
          <w:b/>
          <w:sz w:val="24"/>
        </w:rPr>
        <w:t>：</w:t>
      </w:r>
      <w:r>
        <w:rPr>
          <w:sz w:val="24"/>
        </w:rPr>
        <w:t>中南财经政法大学研究生会</w:t>
      </w:r>
      <w:r>
        <w:rPr>
          <w:rFonts w:hint="eastAsia"/>
          <w:sz w:val="24"/>
        </w:rPr>
        <w:t>、</w:t>
      </w:r>
      <w:r>
        <w:rPr>
          <w:sz w:val="24"/>
        </w:rPr>
        <w:t>公共管理学院</w:t>
      </w:r>
    </w:p>
    <w:p>
      <w:pPr>
        <w:spacing w:line="360" w:lineRule="auto"/>
        <w:ind w:firstLine="420" w:firstLineChars="200"/>
        <w:jc w:val="center"/>
      </w:pPr>
      <w:r>
        <w:rPr>
          <w:rFonts w:ascii="Calibri" w:hAnsi="Calibri" w:eastAsia="宋体" w:cs="黑体"/>
          <w:kern w:val="2"/>
          <w:sz w:val="21"/>
          <w:szCs w:val="22"/>
          <w:lang w:val="en-US" w:eastAsia="zh-CN" w:bidi="ar-SA"/>
        </w:rPr>
        <w:pict>
          <v:shape id="图片 1" o:spid="_x0000_s1026" type="#_x0000_t75" style="height:485.7pt;width:346.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360" w:lineRule="auto"/>
        <w:ind w:firstLine="480" w:firstLineChars="200"/>
        <w:rPr>
          <w:sz w:val="24"/>
        </w:rPr>
      </w:pPr>
    </w:p>
    <w:p>
      <w:pPr>
        <w:adjustRightInd w:val="0"/>
        <w:snapToGrid w:val="0"/>
        <w:spacing w:line="360" w:lineRule="auto"/>
        <w:jc w:val="center"/>
        <w:rPr>
          <w:rFonts w:hint="eastAsia" w:ascii="楷体_GB2312" w:hAnsi="华文中宋" w:eastAsia="楷体_GB2312"/>
          <w:b/>
          <w:spacing w:val="-10"/>
          <w:sz w:val="40"/>
          <w:szCs w:val="36"/>
        </w:rPr>
      </w:pPr>
    </w:p>
    <w:p>
      <w:pPr>
        <w:adjustRightInd w:val="0"/>
        <w:snapToGrid w:val="0"/>
        <w:spacing w:line="360" w:lineRule="auto"/>
        <w:jc w:val="center"/>
        <w:rPr>
          <w:rFonts w:hint="eastAsia" w:ascii="楷体_GB2312" w:hAnsi="华文中宋" w:eastAsia="楷体_GB2312"/>
          <w:b/>
          <w:spacing w:val="-10"/>
          <w:sz w:val="40"/>
          <w:szCs w:val="36"/>
        </w:rPr>
      </w:pPr>
    </w:p>
    <w:p>
      <w:pPr>
        <w:adjustRightInd w:val="0"/>
        <w:snapToGrid w:val="0"/>
        <w:spacing w:line="360" w:lineRule="auto"/>
        <w:jc w:val="center"/>
        <w:rPr>
          <w:rFonts w:hint="eastAsia" w:ascii="楷体_GB2312" w:hAnsi="华文中宋" w:eastAsia="楷体_GB2312"/>
          <w:b/>
          <w:spacing w:val="-10"/>
          <w:sz w:val="40"/>
          <w:szCs w:val="36"/>
        </w:rPr>
      </w:pPr>
    </w:p>
    <w:p>
      <w:pPr>
        <w:adjustRightInd w:val="0"/>
        <w:snapToGrid w:val="0"/>
        <w:spacing w:line="360" w:lineRule="auto"/>
        <w:jc w:val="center"/>
        <w:rPr>
          <w:rFonts w:hint="eastAsia" w:ascii="楷体_GB2312" w:hAnsi="华文中宋" w:eastAsia="楷体_GB2312"/>
          <w:b/>
          <w:spacing w:val="-10"/>
          <w:sz w:val="40"/>
          <w:szCs w:val="36"/>
        </w:rPr>
      </w:pPr>
    </w:p>
    <w:p>
      <w:pPr>
        <w:adjustRightInd w:val="0"/>
        <w:snapToGrid w:val="0"/>
        <w:spacing w:line="360" w:lineRule="auto"/>
        <w:jc w:val="center"/>
        <w:rPr>
          <w:rFonts w:ascii="楷体_GB2312" w:hAnsi="华文中宋" w:eastAsia="楷体_GB2312"/>
          <w:b/>
          <w:spacing w:val="-10"/>
          <w:sz w:val="40"/>
          <w:szCs w:val="36"/>
        </w:rPr>
      </w:pPr>
      <w:r>
        <w:rPr>
          <w:rFonts w:hint="eastAsia" w:ascii="楷体_GB2312" w:hAnsi="华文中宋" w:eastAsia="楷体_GB2312"/>
          <w:b/>
          <w:spacing w:val="-10"/>
          <w:sz w:val="40"/>
          <w:szCs w:val="36"/>
        </w:rPr>
        <w:t>第三届“文澜论坛”之公共管理分论坛</w:t>
      </w:r>
    </w:p>
    <w:p>
      <w:pPr>
        <w:adjustRightInd w:val="0"/>
        <w:snapToGrid w:val="0"/>
        <w:spacing w:line="360" w:lineRule="auto"/>
        <w:jc w:val="center"/>
        <w:rPr>
          <w:rFonts w:hint="eastAsia" w:ascii="楷体_GB2312" w:hAnsi="华文中宋" w:eastAsia="楷体_GB2312"/>
          <w:b/>
          <w:spacing w:val="-10"/>
          <w:sz w:val="40"/>
          <w:szCs w:val="36"/>
        </w:rPr>
      </w:pPr>
      <w:r>
        <w:rPr>
          <w:rFonts w:hint="eastAsia" w:ascii="楷体_GB2312" w:hAnsi="华文中宋" w:eastAsia="楷体_GB2312"/>
          <w:b/>
          <w:spacing w:val="-10"/>
          <w:sz w:val="40"/>
          <w:szCs w:val="36"/>
        </w:rPr>
        <w:t>会议议程</w:t>
      </w:r>
    </w:p>
    <w:tbl>
      <w:tblPr>
        <w:tblStyle w:val="3"/>
        <w:tblW w:w="9519" w:type="dxa"/>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4"/>
        <w:gridCol w:w="2178"/>
        <w:gridCol w:w="1519"/>
        <w:gridCol w:w="536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29" w:hRule="atLeast"/>
          <w:jc w:val="center"/>
        </w:trPr>
        <w:tc>
          <w:tcPr>
            <w:tcW w:w="454" w:type="dxa"/>
            <w:vMerge w:val="restart"/>
            <w:tcBorders>
              <w:top w:val="single" w:color="auto" w:sz="6" w:space="0"/>
            </w:tcBorders>
            <w:vAlign w:val="center"/>
          </w:tcPr>
          <w:p>
            <w:pPr>
              <w:jc w:val="center"/>
              <w:rPr>
                <w:rFonts w:eastAsia="黑体"/>
                <w:b/>
                <w:bCs/>
                <w:sz w:val="24"/>
              </w:rPr>
            </w:pPr>
            <w:r>
              <w:rPr>
                <w:rFonts w:hint="eastAsia" w:hAnsi="宋体"/>
                <w:b/>
                <w:szCs w:val="21"/>
              </w:rPr>
              <w:t>四月二十二日下午</w:t>
            </w:r>
          </w:p>
        </w:tc>
        <w:tc>
          <w:tcPr>
            <w:tcW w:w="2178" w:type="dxa"/>
            <w:tcBorders>
              <w:top w:val="single" w:color="auto" w:sz="6" w:space="0"/>
            </w:tcBorders>
            <w:vAlign w:val="center"/>
          </w:tcPr>
          <w:p>
            <w:pPr>
              <w:jc w:val="center"/>
              <w:rPr>
                <w:rFonts w:hint="eastAsia" w:ascii="仿宋_GB2312" w:eastAsia="仿宋_GB2312"/>
                <w:b/>
                <w:sz w:val="30"/>
                <w:szCs w:val="30"/>
              </w:rPr>
            </w:pPr>
            <w:r>
              <w:rPr>
                <w:rFonts w:hint="eastAsia" w:ascii="仿宋_GB2312" w:eastAsia="仿宋_GB2312"/>
                <w:b/>
                <w:sz w:val="30"/>
                <w:szCs w:val="30"/>
              </w:rPr>
              <w:t>分论坛入场</w:t>
            </w:r>
          </w:p>
          <w:p>
            <w:pPr>
              <w:jc w:val="center"/>
              <w:rPr>
                <w:rFonts w:hint="eastAsia" w:eastAsia="黑体"/>
                <w:bCs/>
                <w:sz w:val="24"/>
              </w:rPr>
            </w:pPr>
            <w:r>
              <w:rPr>
                <w:rFonts w:hint="eastAsia" w:eastAsia="黑体"/>
                <w:bCs/>
                <w:sz w:val="24"/>
              </w:rPr>
              <w:t>13：40—14：00</w:t>
            </w:r>
          </w:p>
        </w:tc>
        <w:tc>
          <w:tcPr>
            <w:tcW w:w="6887" w:type="dxa"/>
            <w:gridSpan w:val="2"/>
            <w:tcBorders>
              <w:top w:val="single" w:color="auto" w:sz="6" w:space="0"/>
            </w:tcBorders>
            <w:vAlign w:val="center"/>
          </w:tcPr>
          <w:p>
            <w:pPr>
              <w:spacing w:line="450" w:lineRule="exact"/>
              <w:jc w:val="center"/>
              <w:rPr>
                <w:sz w:val="24"/>
              </w:rPr>
            </w:pPr>
            <w:r>
              <w:rPr>
                <w:rFonts w:hint="eastAsia" w:ascii="宋体" w:hAnsi="宋体"/>
                <w:b/>
                <w:sz w:val="22"/>
              </w:rPr>
              <w:t>参会人员签到、入席</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28" w:hRule="atLeast"/>
          <w:jc w:val="center"/>
        </w:trPr>
        <w:tc>
          <w:tcPr>
            <w:tcW w:w="454" w:type="dxa"/>
            <w:vMerge w:val="continue"/>
            <w:vAlign w:val="center"/>
          </w:tcPr>
          <w:p>
            <w:pPr>
              <w:pStyle w:val="4"/>
              <w:ind w:firstLine="0" w:firstLineChars="0"/>
              <w:jc w:val="center"/>
            </w:pPr>
          </w:p>
        </w:tc>
        <w:tc>
          <w:tcPr>
            <w:tcW w:w="2178" w:type="dxa"/>
            <w:vAlign w:val="center"/>
          </w:tcPr>
          <w:p>
            <w:pPr>
              <w:jc w:val="center"/>
              <w:rPr>
                <w:bCs/>
                <w:szCs w:val="21"/>
              </w:rPr>
            </w:pPr>
            <w:r>
              <w:rPr>
                <w:rFonts w:hint="eastAsia" w:ascii="仿宋_GB2312" w:eastAsia="仿宋_GB2312"/>
                <w:b/>
                <w:sz w:val="30"/>
                <w:szCs w:val="30"/>
              </w:rPr>
              <w:t>主持人致辞</w:t>
            </w:r>
          </w:p>
          <w:p>
            <w:pPr>
              <w:jc w:val="center"/>
              <w:rPr>
                <w:rFonts w:eastAsia="黑体"/>
                <w:bCs/>
                <w:sz w:val="24"/>
              </w:rPr>
            </w:pPr>
            <w:r>
              <w:rPr>
                <w:rFonts w:hint="eastAsia" w:hAnsi="黑体" w:eastAsia="黑体"/>
                <w:bCs/>
                <w:sz w:val="24"/>
              </w:rPr>
              <w:t>分论坛地点</w:t>
            </w:r>
          </w:p>
          <w:p>
            <w:pPr>
              <w:jc w:val="center"/>
              <w:rPr>
                <w:rFonts w:hAnsi="黑体" w:eastAsia="黑体"/>
                <w:bCs/>
                <w:sz w:val="24"/>
              </w:rPr>
            </w:pPr>
            <w:r>
              <w:rPr>
                <w:rFonts w:eastAsia="黑体"/>
                <w:bCs/>
                <w:sz w:val="24"/>
              </w:rPr>
              <w:t>1</w:t>
            </w:r>
            <w:r>
              <w:rPr>
                <w:rFonts w:hint="eastAsia" w:eastAsia="黑体"/>
                <w:bCs/>
                <w:sz w:val="24"/>
              </w:rPr>
              <w:t>4：0</w:t>
            </w:r>
            <w:r>
              <w:rPr>
                <w:rFonts w:eastAsia="黑体"/>
                <w:bCs/>
                <w:sz w:val="24"/>
              </w:rPr>
              <w:t>0—1</w:t>
            </w:r>
            <w:r>
              <w:rPr>
                <w:rFonts w:hint="eastAsia" w:eastAsia="黑体"/>
                <w:bCs/>
                <w:sz w:val="24"/>
              </w:rPr>
              <w:t>4：</w:t>
            </w:r>
            <w:r>
              <w:rPr>
                <w:rFonts w:eastAsia="黑体"/>
                <w:bCs/>
                <w:sz w:val="24"/>
              </w:rPr>
              <w:t>1</w:t>
            </w:r>
            <w:r>
              <w:rPr>
                <w:rFonts w:hint="eastAsia" w:eastAsia="黑体"/>
                <w:bCs/>
                <w:sz w:val="24"/>
              </w:rPr>
              <w:t>0</w:t>
            </w:r>
          </w:p>
          <w:p>
            <w:pPr>
              <w:jc w:val="center"/>
              <w:rPr>
                <w:rFonts w:hAnsi="黑体" w:eastAsia="黑体"/>
                <w:bCs/>
                <w:sz w:val="24"/>
              </w:rPr>
            </w:pPr>
            <w:r>
              <w:rPr>
                <w:rFonts w:hint="eastAsia" w:hAnsi="黑体" w:eastAsia="黑体"/>
                <w:bCs/>
                <w:sz w:val="24"/>
              </w:rPr>
              <w:t>主持人：晏理慧子</w:t>
            </w:r>
          </w:p>
        </w:tc>
        <w:tc>
          <w:tcPr>
            <w:tcW w:w="6887" w:type="dxa"/>
            <w:gridSpan w:val="2"/>
            <w:tcBorders>
              <w:top w:val="single" w:color="auto" w:sz="6" w:space="0"/>
            </w:tcBorders>
            <w:vAlign w:val="center"/>
          </w:tcPr>
          <w:p>
            <w:pPr>
              <w:tabs>
                <w:tab w:val="left" w:pos="295"/>
              </w:tabs>
              <w:spacing w:line="450" w:lineRule="exact"/>
              <w:jc w:val="center"/>
            </w:pPr>
            <w:r>
              <w:rPr>
                <w:rFonts w:hint="eastAsia" w:ascii="宋体" w:hAnsi="宋体"/>
                <w:b/>
                <w:sz w:val="22"/>
              </w:rPr>
              <w:t>主持人致开幕辞，介绍到场评审与参会人员</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38" w:hRule="atLeast"/>
          <w:jc w:val="center"/>
        </w:trPr>
        <w:tc>
          <w:tcPr>
            <w:tcW w:w="454" w:type="dxa"/>
            <w:vMerge w:val="continue"/>
            <w:vAlign w:val="center"/>
          </w:tcPr>
          <w:p>
            <w:pPr>
              <w:jc w:val="center"/>
              <w:rPr>
                <w:bCs/>
                <w:szCs w:val="21"/>
              </w:rPr>
            </w:pPr>
          </w:p>
        </w:tc>
        <w:tc>
          <w:tcPr>
            <w:tcW w:w="2178" w:type="dxa"/>
            <w:vMerge w:val="restart"/>
            <w:vAlign w:val="center"/>
          </w:tcPr>
          <w:p>
            <w:pPr>
              <w:jc w:val="center"/>
              <w:rPr>
                <w:rFonts w:ascii="宋体"/>
                <w:bCs/>
                <w:szCs w:val="21"/>
              </w:rPr>
            </w:pPr>
            <w:r>
              <w:rPr>
                <w:rFonts w:hint="eastAsia" w:ascii="仿宋_GB2312" w:eastAsia="仿宋_GB2312"/>
                <w:b/>
                <w:sz w:val="30"/>
                <w:szCs w:val="30"/>
              </w:rPr>
              <w:t>第一单元</w:t>
            </w:r>
          </w:p>
          <w:p>
            <w:pPr>
              <w:jc w:val="center"/>
              <w:rPr>
                <w:rFonts w:eastAsia="黑体"/>
                <w:bCs/>
                <w:szCs w:val="21"/>
              </w:rPr>
            </w:pPr>
            <w:r>
              <w:rPr>
                <w:rFonts w:hint="eastAsia" w:eastAsia="黑体"/>
                <w:bCs/>
                <w:szCs w:val="21"/>
              </w:rPr>
              <w:t>14：1</w:t>
            </w:r>
            <w:r>
              <w:rPr>
                <w:rFonts w:eastAsia="黑体"/>
                <w:bCs/>
                <w:szCs w:val="21"/>
              </w:rPr>
              <w:t>0—</w:t>
            </w:r>
            <w:r>
              <w:rPr>
                <w:rFonts w:hint="eastAsia" w:eastAsia="黑体"/>
                <w:bCs/>
                <w:szCs w:val="21"/>
              </w:rPr>
              <w:t>15：40</w:t>
            </w:r>
          </w:p>
        </w:tc>
        <w:tc>
          <w:tcPr>
            <w:tcW w:w="1519" w:type="dxa"/>
            <w:vAlign w:val="center"/>
          </w:tcPr>
          <w:p>
            <w:pPr>
              <w:jc w:val="center"/>
              <w:rPr>
                <w:b/>
                <w:bCs/>
                <w:szCs w:val="21"/>
              </w:rPr>
            </w:pPr>
            <w:r>
              <w:rPr>
                <w:rFonts w:hint="eastAsia"/>
                <w:b/>
                <w:bCs/>
                <w:szCs w:val="21"/>
              </w:rPr>
              <w:t>14</w:t>
            </w:r>
            <w:r>
              <w:rPr>
                <w:b/>
                <w:bCs/>
                <w:szCs w:val="21"/>
              </w:rPr>
              <w:t xml:space="preserve">: </w:t>
            </w:r>
            <w:r>
              <w:rPr>
                <w:rFonts w:hint="eastAsia"/>
                <w:b/>
                <w:bCs/>
                <w:szCs w:val="21"/>
              </w:rPr>
              <w:t>1</w:t>
            </w:r>
            <w:r>
              <w:rPr>
                <w:b/>
                <w:bCs/>
                <w:szCs w:val="21"/>
              </w:rPr>
              <w:t>0—</w:t>
            </w:r>
            <w:r>
              <w:rPr>
                <w:rFonts w:hint="eastAsia"/>
                <w:b/>
                <w:bCs/>
                <w:szCs w:val="21"/>
              </w:rPr>
              <w:t>14</w:t>
            </w:r>
            <w:r>
              <w:rPr>
                <w:b/>
                <w:bCs/>
                <w:szCs w:val="21"/>
              </w:rPr>
              <w:t>:</w:t>
            </w:r>
            <w:r>
              <w:rPr>
                <w:rFonts w:hint="eastAsia"/>
                <w:b/>
                <w:bCs/>
                <w:szCs w:val="21"/>
              </w:rPr>
              <w:t>2</w:t>
            </w:r>
            <w:r>
              <w:rPr>
                <w:b/>
                <w:bCs/>
                <w:szCs w:val="21"/>
              </w:rPr>
              <w:t>0</w:t>
            </w:r>
          </w:p>
        </w:tc>
        <w:tc>
          <w:tcPr>
            <w:tcW w:w="5368" w:type="dxa"/>
            <w:vAlign w:val="center"/>
          </w:tcPr>
          <w:p>
            <w:pPr>
              <w:jc w:val="center"/>
              <w:rPr>
                <w:rFonts w:hint="eastAsia"/>
                <w:b/>
                <w:szCs w:val="21"/>
              </w:rPr>
            </w:pPr>
            <w:r>
              <w:rPr>
                <w:rFonts w:hint="eastAsia"/>
                <w:b/>
                <w:szCs w:val="21"/>
              </w:rPr>
              <w:t>陈志（中南财经政法大学博士研究生）</w:t>
            </w:r>
          </w:p>
          <w:p>
            <w:pPr>
              <w:jc w:val="cente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民主参与、领导能力与村委会职能发挥：</w:t>
            </w:r>
          </w:p>
          <w:p>
            <w:pPr>
              <w:jc w:val="center"/>
              <w:rPr>
                <w:bCs/>
                <w:szCs w:val="21"/>
              </w:rPr>
            </w:pPr>
            <w:r>
              <w:rPr>
                <w:rFonts w:hint="eastAsia" w:ascii="宋体" w:hAnsi="宋体" w:cs="宋体"/>
                <w:color w:val="000000"/>
                <w:szCs w:val="21"/>
              </w:rPr>
              <w:t>我国农村民主问题研究》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45" w:hRule="atLeast"/>
          <w:jc w:val="center"/>
        </w:trPr>
        <w:tc>
          <w:tcPr>
            <w:tcW w:w="454" w:type="dxa"/>
            <w:vMerge w:val="continue"/>
            <w:vAlign w:val="center"/>
          </w:tcPr>
          <w:p>
            <w:pPr>
              <w:jc w:val="center"/>
              <w:rPr>
                <w:bCs/>
                <w:szCs w:val="21"/>
              </w:rPr>
            </w:pPr>
          </w:p>
        </w:tc>
        <w:tc>
          <w:tcPr>
            <w:tcW w:w="2178" w:type="dxa"/>
            <w:vMerge w:val="continue"/>
            <w:vAlign w:val="center"/>
          </w:tcPr>
          <w:p>
            <w:pPr>
              <w:jc w:val="center"/>
              <w:rPr>
                <w:bCs/>
                <w:szCs w:val="21"/>
              </w:rPr>
            </w:pPr>
          </w:p>
        </w:tc>
        <w:tc>
          <w:tcPr>
            <w:tcW w:w="1519" w:type="dxa"/>
            <w:vAlign w:val="center"/>
          </w:tcPr>
          <w:p>
            <w:pPr>
              <w:jc w:val="center"/>
              <w:rPr>
                <w:rFonts w:hint="eastAsia"/>
                <w:b/>
                <w:bCs/>
                <w:szCs w:val="21"/>
              </w:rPr>
            </w:pPr>
            <w:r>
              <w:rPr>
                <w:rFonts w:hint="eastAsia"/>
                <w:b/>
                <w:bCs/>
                <w:szCs w:val="21"/>
              </w:rPr>
              <w:t>14:20—14:40</w:t>
            </w:r>
          </w:p>
        </w:tc>
        <w:tc>
          <w:tcPr>
            <w:tcW w:w="5368" w:type="dxa"/>
            <w:vAlign w:val="center"/>
          </w:tcPr>
          <w:p>
            <w:pPr>
              <w:jc w:val="center"/>
              <w:rPr>
                <w:rFonts w:hint="eastAsia"/>
                <w:b/>
                <w:szCs w:val="21"/>
              </w:rPr>
            </w:pPr>
            <w:r>
              <w:rPr>
                <w:rFonts w:hint="eastAsia"/>
                <w:b/>
                <w:szCs w:val="21"/>
              </w:rPr>
              <w:t>评议人评议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45" w:hRule="atLeast"/>
          <w:jc w:val="center"/>
        </w:trPr>
        <w:tc>
          <w:tcPr>
            <w:tcW w:w="454" w:type="dxa"/>
            <w:vMerge w:val="continue"/>
            <w:vAlign w:val="center"/>
          </w:tcPr>
          <w:p>
            <w:pPr>
              <w:jc w:val="center"/>
              <w:rPr>
                <w:bCs/>
                <w:szCs w:val="21"/>
              </w:rPr>
            </w:pPr>
          </w:p>
        </w:tc>
        <w:tc>
          <w:tcPr>
            <w:tcW w:w="2178" w:type="dxa"/>
            <w:vMerge w:val="continue"/>
            <w:vAlign w:val="center"/>
          </w:tcPr>
          <w:p>
            <w:pPr>
              <w:jc w:val="center"/>
              <w:rPr>
                <w:bCs/>
                <w:szCs w:val="21"/>
              </w:rPr>
            </w:pPr>
          </w:p>
        </w:tc>
        <w:tc>
          <w:tcPr>
            <w:tcW w:w="1519" w:type="dxa"/>
            <w:vAlign w:val="center"/>
          </w:tcPr>
          <w:p>
            <w:pPr>
              <w:jc w:val="center"/>
              <w:rPr>
                <w:b/>
                <w:bCs/>
                <w:szCs w:val="21"/>
              </w:rPr>
            </w:pPr>
            <w:r>
              <w:rPr>
                <w:rFonts w:hint="eastAsia"/>
                <w:b/>
                <w:bCs/>
                <w:szCs w:val="21"/>
              </w:rPr>
              <w:t>14</w:t>
            </w:r>
            <w:r>
              <w:rPr>
                <w:b/>
                <w:bCs/>
                <w:szCs w:val="21"/>
              </w:rPr>
              <w:t>:</w:t>
            </w:r>
            <w:r>
              <w:rPr>
                <w:rFonts w:hint="eastAsia"/>
                <w:b/>
                <w:bCs/>
                <w:szCs w:val="21"/>
              </w:rPr>
              <w:t>40</w:t>
            </w:r>
            <w:r>
              <w:rPr>
                <w:b/>
                <w:bCs/>
                <w:szCs w:val="21"/>
              </w:rPr>
              <w:t>—</w:t>
            </w:r>
            <w:r>
              <w:rPr>
                <w:rFonts w:hint="eastAsia"/>
                <w:b/>
                <w:bCs/>
                <w:szCs w:val="21"/>
              </w:rPr>
              <w:t>14</w:t>
            </w:r>
            <w:r>
              <w:rPr>
                <w:b/>
                <w:bCs/>
                <w:szCs w:val="21"/>
              </w:rPr>
              <w:t>:</w:t>
            </w:r>
            <w:r>
              <w:rPr>
                <w:rFonts w:hint="eastAsia"/>
                <w:b/>
                <w:bCs/>
                <w:szCs w:val="21"/>
              </w:rPr>
              <w:t>50</w:t>
            </w:r>
          </w:p>
        </w:tc>
        <w:tc>
          <w:tcPr>
            <w:tcW w:w="5368" w:type="dxa"/>
            <w:vAlign w:val="center"/>
          </w:tcPr>
          <w:p>
            <w:pPr>
              <w:jc w:val="center"/>
              <w:rPr>
                <w:rFonts w:hint="eastAsia"/>
                <w:b/>
                <w:szCs w:val="21"/>
              </w:rPr>
            </w:pPr>
            <w:r>
              <w:rPr>
                <w:rFonts w:hint="eastAsia"/>
                <w:b/>
                <w:szCs w:val="21"/>
              </w:rPr>
              <w:t>李培（西南财经大学博士研究生）</w:t>
            </w:r>
          </w:p>
          <w:p>
            <w:pPr>
              <w:jc w:val="center"/>
              <w:rPr>
                <w:rFonts w:ascii="宋体" w:hAnsi="宋体" w:cs="宋体"/>
                <w:color w:val="000000"/>
                <w:szCs w:val="21"/>
              </w:rPr>
            </w:pPr>
            <w:r>
              <w:rPr>
                <w:rFonts w:hint="eastAsia" w:ascii="宋体" w:hAnsi="宋体" w:cs="宋体"/>
                <w:szCs w:val="21"/>
              </w:rPr>
              <w:t>《</w:t>
            </w:r>
            <w:r>
              <w:rPr>
                <w:rFonts w:hint="eastAsia" w:ascii="宋体" w:hAnsi="宋体" w:cs="宋体"/>
                <w:color w:val="000000"/>
                <w:szCs w:val="21"/>
              </w:rPr>
              <w:t>新型城镇化过程中养老金并轨能缩小收入差距吗？</w:t>
            </w:r>
          </w:p>
          <w:p>
            <w:pPr>
              <w:jc w:val="center"/>
              <w:rPr>
                <w:szCs w:val="21"/>
              </w:rPr>
            </w:pPr>
            <w:r>
              <w:rPr>
                <w:rFonts w:hint="eastAsia" w:ascii="宋体" w:hAnsi="宋体" w:cs="宋体"/>
                <w:color w:val="000000"/>
                <w:szCs w:val="21"/>
              </w:rPr>
              <w:t>——兼论机关事业单位养老金改革》</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454" w:type="dxa"/>
            <w:vMerge w:val="continue"/>
            <w:vAlign w:val="center"/>
          </w:tcPr>
          <w:p>
            <w:pPr>
              <w:jc w:val="center"/>
              <w:rPr>
                <w:bCs/>
                <w:szCs w:val="21"/>
              </w:rPr>
            </w:pPr>
          </w:p>
        </w:tc>
        <w:tc>
          <w:tcPr>
            <w:tcW w:w="2178" w:type="dxa"/>
            <w:vMerge w:val="continue"/>
            <w:vAlign w:val="center"/>
          </w:tcPr>
          <w:p>
            <w:pPr>
              <w:jc w:val="center"/>
              <w:rPr>
                <w:bCs/>
                <w:szCs w:val="21"/>
              </w:rPr>
            </w:pPr>
          </w:p>
        </w:tc>
        <w:tc>
          <w:tcPr>
            <w:tcW w:w="1519" w:type="dxa"/>
            <w:vAlign w:val="center"/>
          </w:tcPr>
          <w:p>
            <w:pPr>
              <w:jc w:val="center"/>
              <w:rPr>
                <w:rFonts w:hint="eastAsia"/>
                <w:b/>
                <w:bCs/>
                <w:szCs w:val="21"/>
              </w:rPr>
            </w:pPr>
            <w:r>
              <w:rPr>
                <w:rFonts w:hint="eastAsia"/>
                <w:b/>
                <w:bCs/>
                <w:szCs w:val="21"/>
              </w:rPr>
              <w:t>14</w:t>
            </w:r>
            <w:r>
              <w:rPr>
                <w:b/>
                <w:bCs/>
                <w:szCs w:val="21"/>
              </w:rPr>
              <w:t>:</w:t>
            </w:r>
            <w:r>
              <w:rPr>
                <w:rFonts w:hint="eastAsia"/>
                <w:b/>
                <w:bCs/>
                <w:szCs w:val="21"/>
              </w:rPr>
              <w:t>50—15:10</w:t>
            </w:r>
          </w:p>
        </w:tc>
        <w:tc>
          <w:tcPr>
            <w:tcW w:w="5368" w:type="dxa"/>
            <w:vAlign w:val="center"/>
          </w:tcPr>
          <w:p>
            <w:pPr>
              <w:jc w:val="center"/>
              <w:rPr>
                <w:rFonts w:hint="eastAsia"/>
                <w:b/>
                <w:szCs w:val="21"/>
              </w:rPr>
            </w:pPr>
            <w:r>
              <w:rPr>
                <w:rFonts w:hint="eastAsia"/>
                <w:b/>
                <w:szCs w:val="21"/>
              </w:rPr>
              <w:t>评议人评议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454" w:type="dxa"/>
            <w:vMerge w:val="continue"/>
            <w:vAlign w:val="center"/>
          </w:tcPr>
          <w:p>
            <w:pPr>
              <w:jc w:val="center"/>
              <w:rPr>
                <w:bCs/>
                <w:szCs w:val="21"/>
              </w:rPr>
            </w:pPr>
          </w:p>
        </w:tc>
        <w:tc>
          <w:tcPr>
            <w:tcW w:w="2178" w:type="dxa"/>
            <w:vMerge w:val="continue"/>
            <w:vAlign w:val="center"/>
          </w:tcPr>
          <w:p>
            <w:pPr>
              <w:jc w:val="center"/>
              <w:rPr>
                <w:bCs/>
                <w:szCs w:val="21"/>
              </w:rPr>
            </w:pPr>
          </w:p>
        </w:tc>
        <w:tc>
          <w:tcPr>
            <w:tcW w:w="1519" w:type="dxa"/>
            <w:vAlign w:val="center"/>
          </w:tcPr>
          <w:p>
            <w:pPr>
              <w:jc w:val="center"/>
              <w:rPr>
                <w:b/>
                <w:bCs/>
                <w:szCs w:val="21"/>
              </w:rPr>
            </w:pPr>
            <w:r>
              <w:rPr>
                <w:rFonts w:hint="eastAsia"/>
                <w:b/>
                <w:bCs/>
                <w:szCs w:val="21"/>
              </w:rPr>
              <w:t>15</w:t>
            </w:r>
            <w:r>
              <w:rPr>
                <w:b/>
                <w:bCs/>
                <w:szCs w:val="21"/>
              </w:rPr>
              <w:t>:</w:t>
            </w:r>
            <w:r>
              <w:rPr>
                <w:rFonts w:hint="eastAsia"/>
                <w:b/>
                <w:bCs/>
                <w:szCs w:val="21"/>
              </w:rPr>
              <w:t>1</w:t>
            </w:r>
            <w:r>
              <w:rPr>
                <w:b/>
                <w:bCs/>
                <w:szCs w:val="21"/>
              </w:rPr>
              <w:t>0—</w:t>
            </w:r>
            <w:r>
              <w:rPr>
                <w:rFonts w:hint="eastAsia"/>
                <w:b/>
                <w:bCs/>
                <w:szCs w:val="21"/>
              </w:rPr>
              <w:t>15</w:t>
            </w:r>
            <w:r>
              <w:rPr>
                <w:b/>
                <w:bCs/>
                <w:szCs w:val="21"/>
              </w:rPr>
              <w:t>:</w:t>
            </w:r>
            <w:r>
              <w:rPr>
                <w:rFonts w:hint="eastAsia"/>
                <w:b/>
                <w:bCs/>
                <w:szCs w:val="21"/>
              </w:rPr>
              <w:t>2</w:t>
            </w:r>
            <w:r>
              <w:rPr>
                <w:b/>
                <w:bCs/>
                <w:szCs w:val="21"/>
              </w:rPr>
              <w:t>0</w:t>
            </w:r>
          </w:p>
        </w:tc>
        <w:tc>
          <w:tcPr>
            <w:tcW w:w="5368" w:type="dxa"/>
            <w:vAlign w:val="center"/>
          </w:tcPr>
          <w:p>
            <w:pPr>
              <w:jc w:val="center"/>
              <w:rPr>
                <w:rFonts w:hint="eastAsia"/>
                <w:b/>
                <w:szCs w:val="21"/>
              </w:rPr>
            </w:pPr>
            <w:r>
              <w:rPr>
                <w:rFonts w:hint="eastAsia"/>
                <w:b/>
                <w:szCs w:val="21"/>
              </w:rPr>
              <w:t>李永海（中南财经政法大学博士研究生）</w:t>
            </w:r>
          </w:p>
          <w:p>
            <w:pPr>
              <w:jc w:val="center"/>
              <w:rPr>
                <w:szCs w:val="21"/>
              </w:rPr>
            </w:pPr>
            <w:r>
              <w:rPr>
                <w:rFonts w:hint="eastAsia" w:ascii="宋体" w:hAnsi="宋体" w:cs="宋体"/>
                <w:szCs w:val="21"/>
              </w:rPr>
              <w:t>《</w:t>
            </w:r>
            <w:r>
              <w:rPr>
                <w:rFonts w:hint="eastAsia" w:ascii="宋体" w:hAnsi="宋体" w:cs="宋体"/>
                <w:color w:val="000000"/>
                <w:szCs w:val="21"/>
              </w:rPr>
              <w:t>税收负担、政府管制与地区隐性经济》</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7" w:hRule="atLeast"/>
          <w:jc w:val="center"/>
        </w:trPr>
        <w:tc>
          <w:tcPr>
            <w:tcW w:w="454" w:type="dxa"/>
            <w:vMerge w:val="continue"/>
            <w:vAlign w:val="center"/>
          </w:tcPr>
          <w:p>
            <w:pPr>
              <w:jc w:val="center"/>
              <w:rPr>
                <w:bCs/>
                <w:szCs w:val="21"/>
              </w:rPr>
            </w:pPr>
          </w:p>
        </w:tc>
        <w:tc>
          <w:tcPr>
            <w:tcW w:w="2178" w:type="dxa"/>
            <w:vMerge w:val="continue"/>
            <w:vAlign w:val="center"/>
          </w:tcPr>
          <w:p>
            <w:pPr>
              <w:jc w:val="center"/>
              <w:rPr>
                <w:bCs/>
                <w:szCs w:val="21"/>
              </w:rPr>
            </w:pPr>
          </w:p>
        </w:tc>
        <w:tc>
          <w:tcPr>
            <w:tcW w:w="1519" w:type="dxa"/>
            <w:vAlign w:val="center"/>
          </w:tcPr>
          <w:p>
            <w:pPr>
              <w:jc w:val="center"/>
              <w:rPr>
                <w:b/>
                <w:bCs/>
                <w:szCs w:val="21"/>
              </w:rPr>
            </w:pPr>
            <w:r>
              <w:rPr>
                <w:rFonts w:hint="eastAsia"/>
                <w:b/>
                <w:bCs/>
                <w:szCs w:val="21"/>
              </w:rPr>
              <w:t>15</w:t>
            </w:r>
            <w:r>
              <w:rPr>
                <w:b/>
                <w:bCs/>
                <w:szCs w:val="21"/>
              </w:rPr>
              <w:t>:</w:t>
            </w:r>
            <w:r>
              <w:rPr>
                <w:rFonts w:hint="eastAsia"/>
                <w:b/>
                <w:bCs/>
                <w:szCs w:val="21"/>
              </w:rPr>
              <w:t>2</w:t>
            </w:r>
            <w:r>
              <w:rPr>
                <w:b/>
                <w:bCs/>
                <w:szCs w:val="21"/>
              </w:rPr>
              <w:t>0—</w:t>
            </w:r>
            <w:r>
              <w:rPr>
                <w:rFonts w:hint="eastAsia"/>
                <w:b/>
                <w:bCs/>
                <w:szCs w:val="21"/>
              </w:rPr>
              <w:t>15</w:t>
            </w:r>
            <w:r>
              <w:rPr>
                <w:b/>
                <w:bCs/>
                <w:szCs w:val="21"/>
              </w:rPr>
              <w:t>:</w:t>
            </w:r>
            <w:r>
              <w:rPr>
                <w:rFonts w:hint="eastAsia"/>
                <w:b/>
                <w:bCs/>
                <w:szCs w:val="21"/>
              </w:rPr>
              <w:t>40</w:t>
            </w:r>
          </w:p>
        </w:tc>
        <w:tc>
          <w:tcPr>
            <w:tcW w:w="5368" w:type="dxa"/>
            <w:vAlign w:val="center"/>
          </w:tcPr>
          <w:p>
            <w:pPr>
              <w:jc w:val="center"/>
            </w:pPr>
            <w:r>
              <w:rPr>
                <w:rFonts w:hint="eastAsia"/>
                <w:b/>
              </w:rPr>
              <w:t>评议人评议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21" w:hRule="atLeast"/>
          <w:jc w:val="center"/>
        </w:trPr>
        <w:tc>
          <w:tcPr>
            <w:tcW w:w="454" w:type="dxa"/>
            <w:vMerge w:val="continue"/>
            <w:vAlign w:val="center"/>
          </w:tcPr>
          <w:p>
            <w:pPr>
              <w:jc w:val="center"/>
              <w:rPr>
                <w:bCs/>
                <w:szCs w:val="21"/>
              </w:rPr>
            </w:pPr>
          </w:p>
        </w:tc>
        <w:tc>
          <w:tcPr>
            <w:tcW w:w="2178" w:type="dxa"/>
            <w:vAlign w:val="center"/>
          </w:tcPr>
          <w:p>
            <w:pPr>
              <w:jc w:val="center"/>
              <w:rPr>
                <w:rFonts w:eastAsia="黑体"/>
                <w:bCs/>
                <w:sz w:val="24"/>
              </w:rPr>
            </w:pPr>
            <w:r>
              <w:rPr>
                <w:rFonts w:hint="eastAsia" w:ascii="仿宋_GB2312" w:eastAsia="仿宋_GB2312"/>
                <w:b/>
                <w:sz w:val="30"/>
                <w:szCs w:val="30"/>
              </w:rPr>
              <w:t>茶歇</w:t>
            </w:r>
          </w:p>
        </w:tc>
        <w:tc>
          <w:tcPr>
            <w:tcW w:w="1519" w:type="dxa"/>
            <w:vAlign w:val="center"/>
          </w:tcPr>
          <w:p>
            <w:pPr>
              <w:jc w:val="center"/>
              <w:rPr>
                <w:b/>
                <w:bCs/>
                <w:szCs w:val="21"/>
              </w:rPr>
            </w:pPr>
            <w:r>
              <w:rPr>
                <w:b/>
                <w:bCs/>
                <w:szCs w:val="21"/>
              </w:rPr>
              <w:t>1</w:t>
            </w:r>
            <w:r>
              <w:rPr>
                <w:rFonts w:hint="eastAsia"/>
                <w:b/>
                <w:bCs/>
                <w:szCs w:val="21"/>
              </w:rPr>
              <w:t>5</w:t>
            </w:r>
            <w:r>
              <w:rPr>
                <w:b/>
                <w:bCs/>
                <w:szCs w:val="21"/>
              </w:rPr>
              <w:t>:</w:t>
            </w:r>
            <w:r>
              <w:rPr>
                <w:rFonts w:hint="eastAsia"/>
                <w:b/>
                <w:bCs/>
                <w:szCs w:val="21"/>
              </w:rPr>
              <w:t>40</w:t>
            </w:r>
            <w:r>
              <w:rPr>
                <w:b/>
                <w:bCs/>
                <w:szCs w:val="21"/>
              </w:rPr>
              <w:t>—1</w:t>
            </w:r>
            <w:r>
              <w:rPr>
                <w:rFonts w:hint="eastAsia"/>
                <w:b/>
                <w:bCs/>
                <w:szCs w:val="21"/>
              </w:rPr>
              <w:t>5</w:t>
            </w:r>
            <w:r>
              <w:rPr>
                <w:b/>
                <w:bCs/>
                <w:szCs w:val="21"/>
              </w:rPr>
              <w:t>:</w:t>
            </w:r>
            <w:r>
              <w:rPr>
                <w:rFonts w:hint="eastAsia"/>
                <w:b/>
                <w:bCs/>
                <w:szCs w:val="21"/>
              </w:rPr>
              <w:t>50</w:t>
            </w:r>
          </w:p>
        </w:tc>
        <w:tc>
          <w:tcPr>
            <w:tcW w:w="5368" w:type="dxa"/>
            <w:vAlign w:val="center"/>
          </w:tcPr>
          <w:p>
            <w:pPr>
              <w:jc w:val="center"/>
              <w:rPr>
                <w:bCs/>
                <w:szCs w:val="21"/>
              </w:rPr>
            </w:pP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9" w:hRule="atLeast"/>
          <w:jc w:val="center"/>
        </w:trPr>
        <w:tc>
          <w:tcPr>
            <w:tcW w:w="454" w:type="dxa"/>
            <w:vMerge w:val="continue"/>
            <w:vAlign w:val="center"/>
          </w:tcPr>
          <w:p>
            <w:pPr>
              <w:jc w:val="center"/>
              <w:rPr>
                <w:rFonts w:hAnsi="宋体"/>
                <w:szCs w:val="21"/>
              </w:rPr>
            </w:pPr>
          </w:p>
        </w:tc>
        <w:tc>
          <w:tcPr>
            <w:tcW w:w="2178" w:type="dxa"/>
            <w:vMerge w:val="restart"/>
            <w:vAlign w:val="center"/>
          </w:tcPr>
          <w:p>
            <w:pPr>
              <w:jc w:val="center"/>
              <w:rPr>
                <w:rFonts w:ascii="宋体"/>
                <w:bCs/>
                <w:szCs w:val="21"/>
              </w:rPr>
            </w:pPr>
            <w:r>
              <w:rPr>
                <w:rFonts w:hint="eastAsia" w:ascii="仿宋_GB2312" w:eastAsia="仿宋_GB2312"/>
                <w:b/>
                <w:sz w:val="30"/>
                <w:szCs w:val="30"/>
              </w:rPr>
              <w:t>第二单元</w:t>
            </w:r>
          </w:p>
          <w:p>
            <w:pPr>
              <w:jc w:val="center"/>
              <w:rPr>
                <w:rFonts w:eastAsia="黑体"/>
                <w:bCs/>
                <w:szCs w:val="21"/>
              </w:rPr>
            </w:pPr>
            <w:r>
              <w:rPr>
                <w:rFonts w:hint="eastAsia" w:eastAsia="黑体"/>
                <w:bCs/>
                <w:szCs w:val="21"/>
              </w:rPr>
              <w:t>15：50</w:t>
            </w:r>
            <w:r>
              <w:rPr>
                <w:rFonts w:eastAsia="黑体"/>
                <w:bCs/>
                <w:szCs w:val="21"/>
              </w:rPr>
              <w:t>—</w:t>
            </w:r>
            <w:r>
              <w:rPr>
                <w:rFonts w:hint="eastAsia" w:eastAsia="黑体"/>
                <w:bCs/>
                <w:szCs w:val="21"/>
              </w:rPr>
              <w:t>17：1</w:t>
            </w:r>
            <w:r>
              <w:rPr>
                <w:rFonts w:eastAsia="黑体"/>
                <w:bCs/>
                <w:szCs w:val="21"/>
              </w:rPr>
              <w:t>0</w:t>
            </w:r>
          </w:p>
        </w:tc>
        <w:tc>
          <w:tcPr>
            <w:tcW w:w="1519" w:type="dxa"/>
            <w:vAlign w:val="center"/>
          </w:tcPr>
          <w:p>
            <w:pPr>
              <w:jc w:val="center"/>
              <w:rPr>
                <w:rFonts w:ascii="宋体" w:cs="宋体"/>
                <w:szCs w:val="21"/>
              </w:rPr>
            </w:pPr>
            <w:r>
              <w:rPr>
                <w:rFonts w:hint="eastAsia" w:hAnsi="宋体"/>
                <w:b/>
                <w:szCs w:val="21"/>
              </w:rPr>
              <w:t>15</w:t>
            </w:r>
            <w:r>
              <w:rPr>
                <w:rFonts w:hAnsi="宋体"/>
                <w:b/>
                <w:szCs w:val="21"/>
              </w:rPr>
              <w:t>:</w:t>
            </w:r>
            <w:r>
              <w:rPr>
                <w:rFonts w:hint="eastAsia" w:hAnsi="宋体"/>
                <w:b/>
                <w:szCs w:val="21"/>
              </w:rPr>
              <w:t>50</w:t>
            </w:r>
            <w:r>
              <w:rPr>
                <w:rFonts w:hAnsi="宋体"/>
                <w:b/>
                <w:szCs w:val="21"/>
              </w:rPr>
              <w:t>—</w:t>
            </w:r>
            <w:r>
              <w:rPr>
                <w:rFonts w:hint="eastAsia" w:hAnsi="宋体"/>
                <w:b/>
                <w:szCs w:val="21"/>
              </w:rPr>
              <w:t>16</w:t>
            </w:r>
            <w:r>
              <w:rPr>
                <w:rFonts w:hAnsi="宋体"/>
                <w:b/>
                <w:szCs w:val="21"/>
              </w:rPr>
              <w:t>:</w:t>
            </w:r>
            <w:r>
              <w:rPr>
                <w:rFonts w:hint="eastAsia" w:hAnsi="宋体"/>
                <w:b/>
                <w:szCs w:val="21"/>
              </w:rPr>
              <w:t>00</w:t>
            </w:r>
          </w:p>
        </w:tc>
        <w:tc>
          <w:tcPr>
            <w:tcW w:w="5368" w:type="dxa"/>
            <w:vAlign w:val="center"/>
          </w:tcPr>
          <w:p>
            <w:pPr>
              <w:jc w:val="center"/>
              <w:rPr>
                <w:rFonts w:hint="eastAsia"/>
                <w:b/>
                <w:szCs w:val="21"/>
              </w:rPr>
            </w:pPr>
            <w:r>
              <w:rPr>
                <w:rFonts w:hint="eastAsia"/>
                <w:b/>
                <w:szCs w:val="21"/>
              </w:rPr>
              <w:t>李博（中国农业大学博士研究生）：</w:t>
            </w:r>
          </w:p>
          <w:p>
            <w:pPr>
              <w:jc w:val="center"/>
              <w:rPr>
                <w:rFonts w:ascii="宋体" w:cs="宋体"/>
                <w:szCs w:val="21"/>
              </w:rPr>
            </w:pPr>
            <w:r>
              <w:rPr>
                <w:rFonts w:hint="eastAsia" w:ascii="宋体" w:hAnsi="宋体" w:cs="宋体"/>
                <w:szCs w:val="21"/>
              </w:rPr>
              <w:t>《</w:t>
            </w:r>
            <w:r>
              <w:rPr>
                <w:rFonts w:hint="eastAsia" w:ascii="宋体" w:hAnsi="宋体" w:cs="宋体"/>
                <w:color w:val="000000"/>
                <w:szCs w:val="21"/>
              </w:rPr>
              <w:t>精准扶贫视角下农村产业化扶贫政策执行逻辑的探讨——以Y村大棚蔬菜产业扶贫为例》</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3" w:hRule="atLeast"/>
          <w:jc w:val="center"/>
        </w:trPr>
        <w:tc>
          <w:tcPr>
            <w:tcW w:w="454" w:type="dxa"/>
            <w:vMerge w:val="continue"/>
            <w:vAlign w:val="center"/>
          </w:tcPr>
          <w:p>
            <w:pPr>
              <w:jc w:val="center"/>
              <w:rPr>
                <w:rFonts w:hAnsi="宋体"/>
                <w:szCs w:val="21"/>
              </w:rPr>
            </w:pPr>
          </w:p>
        </w:tc>
        <w:tc>
          <w:tcPr>
            <w:tcW w:w="2178" w:type="dxa"/>
            <w:vMerge w:val="continue"/>
            <w:vAlign w:val="center"/>
          </w:tcPr>
          <w:p>
            <w:pPr>
              <w:jc w:val="center"/>
              <w:rPr>
                <w:rFonts w:hAnsi="宋体"/>
                <w:szCs w:val="21"/>
              </w:rPr>
            </w:pPr>
          </w:p>
        </w:tc>
        <w:tc>
          <w:tcPr>
            <w:tcW w:w="1519" w:type="dxa"/>
            <w:vAlign w:val="center"/>
          </w:tcPr>
          <w:p>
            <w:pPr>
              <w:jc w:val="center"/>
              <w:rPr>
                <w:rFonts w:hint="eastAsia" w:hAnsi="宋体"/>
                <w:b/>
                <w:szCs w:val="21"/>
              </w:rPr>
            </w:pPr>
            <w:r>
              <w:rPr>
                <w:rFonts w:hint="eastAsia" w:hAnsi="宋体"/>
                <w:b/>
                <w:szCs w:val="21"/>
              </w:rPr>
              <w:t>16:00—16:20</w:t>
            </w:r>
          </w:p>
        </w:tc>
        <w:tc>
          <w:tcPr>
            <w:tcW w:w="5368" w:type="dxa"/>
            <w:vAlign w:val="center"/>
          </w:tcPr>
          <w:p>
            <w:pPr>
              <w:jc w:val="center"/>
              <w:rPr>
                <w:rFonts w:hint="eastAsia"/>
                <w:b/>
                <w:szCs w:val="21"/>
              </w:rPr>
            </w:pPr>
            <w:r>
              <w:rPr>
                <w:rFonts w:hint="eastAsia"/>
                <w:b/>
                <w:szCs w:val="21"/>
              </w:rPr>
              <w:t>评议人评议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9" w:hRule="atLeast"/>
          <w:jc w:val="center"/>
        </w:trPr>
        <w:tc>
          <w:tcPr>
            <w:tcW w:w="454" w:type="dxa"/>
            <w:vMerge w:val="continue"/>
            <w:vAlign w:val="center"/>
          </w:tcPr>
          <w:p>
            <w:pPr>
              <w:jc w:val="center"/>
              <w:rPr>
                <w:rFonts w:hAnsi="宋体"/>
                <w:szCs w:val="21"/>
              </w:rPr>
            </w:pPr>
          </w:p>
        </w:tc>
        <w:tc>
          <w:tcPr>
            <w:tcW w:w="2178" w:type="dxa"/>
            <w:vMerge w:val="continue"/>
            <w:vAlign w:val="center"/>
          </w:tcPr>
          <w:p>
            <w:pPr>
              <w:jc w:val="center"/>
              <w:rPr>
                <w:rFonts w:hAnsi="宋体"/>
                <w:szCs w:val="21"/>
              </w:rPr>
            </w:pPr>
          </w:p>
        </w:tc>
        <w:tc>
          <w:tcPr>
            <w:tcW w:w="1519" w:type="dxa"/>
            <w:vAlign w:val="center"/>
          </w:tcPr>
          <w:p>
            <w:pPr>
              <w:jc w:val="center"/>
              <w:rPr>
                <w:rFonts w:ascii="宋体" w:cs="宋体"/>
                <w:szCs w:val="21"/>
              </w:rPr>
            </w:pPr>
            <w:r>
              <w:rPr>
                <w:rFonts w:hint="eastAsia" w:hAnsi="宋体"/>
                <w:b/>
                <w:szCs w:val="21"/>
              </w:rPr>
              <w:t>16</w:t>
            </w:r>
            <w:r>
              <w:rPr>
                <w:rFonts w:hAnsi="宋体"/>
                <w:b/>
                <w:szCs w:val="21"/>
              </w:rPr>
              <w:t>:</w:t>
            </w:r>
            <w:r>
              <w:rPr>
                <w:rFonts w:hint="eastAsia" w:hAnsi="宋体"/>
                <w:b/>
                <w:szCs w:val="21"/>
              </w:rPr>
              <w:t>20</w:t>
            </w:r>
            <w:r>
              <w:rPr>
                <w:rFonts w:hAnsi="宋体"/>
                <w:b/>
                <w:szCs w:val="21"/>
              </w:rPr>
              <w:t>—1</w:t>
            </w:r>
            <w:r>
              <w:rPr>
                <w:rFonts w:hint="eastAsia" w:hAnsi="宋体"/>
                <w:b/>
                <w:szCs w:val="21"/>
              </w:rPr>
              <w:t>6</w:t>
            </w:r>
            <w:r>
              <w:rPr>
                <w:rFonts w:hAnsi="宋体"/>
                <w:b/>
                <w:szCs w:val="21"/>
              </w:rPr>
              <w:t>:</w:t>
            </w:r>
            <w:r>
              <w:rPr>
                <w:rFonts w:hint="eastAsia" w:hAnsi="宋体"/>
                <w:b/>
                <w:szCs w:val="21"/>
              </w:rPr>
              <w:t>30</w:t>
            </w:r>
          </w:p>
        </w:tc>
        <w:tc>
          <w:tcPr>
            <w:tcW w:w="5368" w:type="dxa"/>
            <w:vAlign w:val="center"/>
          </w:tcPr>
          <w:p>
            <w:pPr>
              <w:jc w:val="center"/>
              <w:rPr>
                <w:rFonts w:hint="eastAsia"/>
                <w:b/>
                <w:szCs w:val="21"/>
              </w:rPr>
            </w:pPr>
            <w:r>
              <w:rPr>
                <w:rFonts w:hint="eastAsia"/>
                <w:b/>
                <w:szCs w:val="21"/>
              </w:rPr>
              <w:t>李雪峰、王慧（西南财经大学硕士研究生）：</w:t>
            </w:r>
          </w:p>
          <w:p>
            <w:pPr>
              <w:jc w:val="center"/>
              <w:rPr>
                <w:rFonts w:ascii="宋体" w:cs="宋体"/>
                <w:szCs w:val="21"/>
              </w:rPr>
            </w:pPr>
            <w:r>
              <w:rPr>
                <w:rFonts w:hint="eastAsia" w:ascii="宋体" w:hAnsi="宋体" w:cs="宋体"/>
                <w:szCs w:val="21"/>
              </w:rPr>
              <w:t>《</w:t>
            </w:r>
            <w:r>
              <w:rPr>
                <w:rFonts w:hint="eastAsia" w:ascii="宋体" w:hAnsi="宋体" w:cs="宋体"/>
                <w:color w:val="000000"/>
                <w:szCs w:val="21"/>
              </w:rPr>
              <w:t>“扩权强县”与县级财政解困的实证分析》</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0" w:hRule="atLeast"/>
          <w:jc w:val="center"/>
        </w:trPr>
        <w:tc>
          <w:tcPr>
            <w:tcW w:w="454" w:type="dxa"/>
            <w:vMerge w:val="continue"/>
            <w:vAlign w:val="center"/>
          </w:tcPr>
          <w:p>
            <w:pPr>
              <w:jc w:val="center"/>
              <w:rPr>
                <w:rFonts w:hAnsi="宋体"/>
                <w:szCs w:val="21"/>
              </w:rPr>
            </w:pPr>
          </w:p>
        </w:tc>
        <w:tc>
          <w:tcPr>
            <w:tcW w:w="2178" w:type="dxa"/>
            <w:vMerge w:val="continue"/>
            <w:vAlign w:val="center"/>
          </w:tcPr>
          <w:p>
            <w:pPr>
              <w:jc w:val="center"/>
              <w:rPr>
                <w:rFonts w:hAnsi="宋体"/>
                <w:szCs w:val="21"/>
              </w:rPr>
            </w:pPr>
          </w:p>
        </w:tc>
        <w:tc>
          <w:tcPr>
            <w:tcW w:w="1519" w:type="dxa"/>
            <w:vAlign w:val="center"/>
          </w:tcPr>
          <w:p>
            <w:pPr>
              <w:jc w:val="center"/>
            </w:pPr>
            <w:r>
              <w:rPr>
                <w:b/>
              </w:rPr>
              <w:t>1</w:t>
            </w:r>
            <w:r>
              <w:rPr>
                <w:rFonts w:hint="eastAsia"/>
                <w:b/>
              </w:rPr>
              <w:t>6</w:t>
            </w:r>
            <w:r>
              <w:rPr>
                <w:b/>
              </w:rPr>
              <w:t>:</w:t>
            </w:r>
            <w:r>
              <w:rPr>
                <w:rFonts w:hint="eastAsia"/>
                <w:b/>
              </w:rPr>
              <w:t>30</w:t>
            </w:r>
            <w:r>
              <w:rPr>
                <w:b/>
              </w:rPr>
              <w:t>—1</w:t>
            </w:r>
            <w:r>
              <w:rPr>
                <w:rFonts w:hint="eastAsia"/>
                <w:b/>
              </w:rPr>
              <w:t>6</w:t>
            </w:r>
            <w:r>
              <w:rPr>
                <w:b/>
              </w:rPr>
              <w:t>:</w:t>
            </w:r>
            <w:r>
              <w:rPr>
                <w:rFonts w:hint="eastAsia"/>
                <w:b/>
              </w:rPr>
              <w:t>50</w:t>
            </w:r>
          </w:p>
        </w:tc>
        <w:tc>
          <w:tcPr>
            <w:tcW w:w="5368" w:type="dxa"/>
            <w:vAlign w:val="center"/>
          </w:tcPr>
          <w:p>
            <w:pPr>
              <w:jc w:val="center"/>
            </w:pPr>
            <w:r>
              <w:rPr>
                <w:rFonts w:hint="eastAsia"/>
                <w:b/>
              </w:rPr>
              <w:t>评议人评议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9" w:hRule="atLeast"/>
          <w:jc w:val="center"/>
        </w:trPr>
        <w:tc>
          <w:tcPr>
            <w:tcW w:w="454" w:type="dxa"/>
            <w:vMerge w:val="continue"/>
            <w:vAlign w:val="center"/>
          </w:tcPr>
          <w:p>
            <w:pPr>
              <w:jc w:val="center"/>
              <w:rPr>
                <w:rFonts w:hAnsi="宋体"/>
                <w:szCs w:val="21"/>
              </w:rPr>
            </w:pPr>
          </w:p>
        </w:tc>
        <w:tc>
          <w:tcPr>
            <w:tcW w:w="2178" w:type="dxa"/>
            <w:vMerge w:val="continue"/>
            <w:vAlign w:val="center"/>
          </w:tcPr>
          <w:p>
            <w:pPr>
              <w:jc w:val="center"/>
              <w:rPr>
                <w:rFonts w:hAnsi="宋体"/>
                <w:szCs w:val="21"/>
              </w:rPr>
            </w:pPr>
          </w:p>
        </w:tc>
        <w:tc>
          <w:tcPr>
            <w:tcW w:w="1519" w:type="dxa"/>
            <w:vAlign w:val="center"/>
          </w:tcPr>
          <w:p>
            <w:pPr>
              <w:jc w:val="center"/>
              <w:rPr>
                <w:b/>
              </w:rPr>
            </w:pPr>
            <w:r>
              <w:rPr>
                <w:b/>
              </w:rPr>
              <w:t>1</w:t>
            </w:r>
            <w:r>
              <w:rPr>
                <w:rFonts w:hint="eastAsia"/>
                <w:b/>
              </w:rPr>
              <w:t>6</w:t>
            </w:r>
            <w:r>
              <w:rPr>
                <w:b/>
              </w:rPr>
              <w:t>:</w:t>
            </w:r>
            <w:r>
              <w:rPr>
                <w:rFonts w:hint="eastAsia"/>
                <w:b/>
              </w:rPr>
              <w:t>50</w:t>
            </w:r>
            <w:r>
              <w:rPr>
                <w:b/>
              </w:rPr>
              <w:t>—1</w:t>
            </w:r>
            <w:r>
              <w:rPr>
                <w:rFonts w:hint="eastAsia"/>
                <w:b/>
              </w:rPr>
              <w:t>7</w:t>
            </w:r>
            <w:r>
              <w:rPr>
                <w:b/>
              </w:rPr>
              <w:t>:</w:t>
            </w:r>
            <w:r>
              <w:rPr>
                <w:rFonts w:hint="eastAsia"/>
                <w:b/>
              </w:rPr>
              <w:t>10</w:t>
            </w:r>
          </w:p>
        </w:tc>
        <w:tc>
          <w:tcPr>
            <w:tcW w:w="5368" w:type="dxa"/>
            <w:vAlign w:val="center"/>
          </w:tcPr>
          <w:p>
            <w:pPr>
              <w:jc w:val="center"/>
              <w:rPr>
                <w:b/>
              </w:rPr>
            </w:pPr>
            <w:r>
              <w:rPr>
                <w:rFonts w:hint="eastAsia"/>
                <w:b/>
              </w:rPr>
              <w:t>自由提问</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8" w:hRule="atLeast"/>
          <w:jc w:val="center"/>
        </w:trPr>
        <w:tc>
          <w:tcPr>
            <w:tcW w:w="454" w:type="dxa"/>
            <w:vMerge w:val="continue"/>
            <w:vAlign w:val="center"/>
          </w:tcPr>
          <w:p>
            <w:pPr>
              <w:jc w:val="center"/>
              <w:rPr>
                <w:rFonts w:hAnsi="宋体"/>
                <w:szCs w:val="21"/>
              </w:rPr>
            </w:pPr>
          </w:p>
        </w:tc>
        <w:tc>
          <w:tcPr>
            <w:tcW w:w="2178" w:type="dxa"/>
            <w:vAlign w:val="center"/>
          </w:tcPr>
          <w:p>
            <w:pPr>
              <w:jc w:val="center"/>
              <w:rPr>
                <w:rFonts w:hAnsi="宋体"/>
                <w:szCs w:val="21"/>
              </w:rPr>
            </w:pPr>
            <w:r>
              <w:rPr>
                <w:rFonts w:hint="eastAsia" w:ascii="仿宋_GB2312" w:eastAsia="仿宋_GB2312"/>
                <w:b/>
                <w:sz w:val="30"/>
                <w:szCs w:val="30"/>
              </w:rPr>
              <w:t>合影</w:t>
            </w:r>
          </w:p>
        </w:tc>
        <w:tc>
          <w:tcPr>
            <w:tcW w:w="1519" w:type="dxa"/>
            <w:vAlign w:val="center"/>
          </w:tcPr>
          <w:p>
            <w:pPr>
              <w:jc w:val="center"/>
              <w:rPr>
                <w:rFonts w:hint="eastAsia"/>
                <w:b/>
              </w:rPr>
            </w:pPr>
            <w:r>
              <w:rPr>
                <w:rFonts w:hint="eastAsia"/>
                <w:b/>
              </w:rPr>
              <w:t>17:10—17:30</w:t>
            </w:r>
          </w:p>
        </w:tc>
        <w:tc>
          <w:tcPr>
            <w:tcW w:w="5368" w:type="dxa"/>
            <w:vAlign w:val="center"/>
          </w:tcPr>
          <w:p>
            <w:pPr>
              <w:jc w:val="center"/>
              <w:rPr>
                <w:rFonts w:hint="eastAsia"/>
                <w:b/>
              </w:rPr>
            </w:pPr>
          </w:p>
        </w:tc>
      </w:tr>
    </w:tbl>
    <w:p>
      <w:pPr>
        <w:adjustRightInd w:val="0"/>
        <w:snapToGrid w:val="0"/>
        <w:spacing w:line="360" w:lineRule="auto"/>
        <w:rPr>
          <w:rFonts w:hint="eastAsia" w:ascii="楷体_GB2312" w:hAnsi="华文中宋" w:eastAsia="楷体_GB2312"/>
          <w:b/>
          <w:spacing w:val="-10"/>
          <w:sz w:val="40"/>
          <w:szCs w:val="36"/>
        </w:rPr>
      </w:pPr>
    </w:p>
    <w:p>
      <w:pPr>
        <w:spacing w:line="360" w:lineRule="auto"/>
        <w:ind w:firstLine="480" w:firstLineChars="200"/>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0000000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555C"/>
    <w:rsid w:val="00116592"/>
    <w:rsid w:val="00143B5D"/>
    <w:rsid w:val="0017346B"/>
    <w:rsid w:val="00215A57"/>
    <w:rsid w:val="00284549"/>
    <w:rsid w:val="002F00BE"/>
    <w:rsid w:val="003667AF"/>
    <w:rsid w:val="004542DF"/>
    <w:rsid w:val="00680BAE"/>
    <w:rsid w:val="008B1E70"/>
    <w:rsid w:val="00A2555C"/>
    <w:rsid w:val="00E51847"/>
    <w:rsid w:val="3AFB349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 w:type="paragraph" w:customStyle="1" w:styleId="4">
    <w:name w:val="List Paragraph1"/>
    <w:basedOn w:val="1"/>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206</Words>
  <Characters>1180</Characters>
  <Lines>9</Lines>
  <Paragraphs>2</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2016-04-17T23:08:00Z</dcterms:created>
  <dc:creator>Lingyan Hu</dc:creator>
  <cp:lastModifiedBy>pris_tk</cp:lastModifiedBy>
  <dcterms:modified xsi:type="dcterms:W3CDTF">2016-04-18T08:14:44Z</dcterms:modified>
  <dc:title>第三届“文澜论坛”之公共管理分论坛的通知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