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8"/>
        </w:rPr>
      </w:pPr>
      <w:r>
        <w:rPr>
          <w:rFonts w:ascii="Times New Roman" w:hAnsi="Times New Roman" w:cs="Times New Roman"/>
          <w:b/>
          <w:sz w:val="28"/>
        </w:rPr>
        <w:t>201</w:t>
      </w:r>
      <w:r>
        <w:rPr>
          <w:rFonts w:hint="eastAsia" w:ascii="Times New Roman" w:hAnsi="Times New Roman" w:cs="Times New Roman"/>
          <w:b/>
          <w:sz w:val="28"/>
          <w:lang w:val="en-US" w:eastAsia="zh-CN"/>
        </w:rPr>
        <w:t>7</w:t>
      </w:r>
      <w:r>
        <w:rPr>
          <w:rFonts w:ascii="Times New Roman" w:hAnsi="Times New Roman" w:cs="Times New Roman"/>
          <w:b/>
          <w:sz w:val="28"/>
        </w:rPr>
        <w:t>年公共管理学院</w:t>
      </w:r>
      <w:r>
        <w:rPr>
          <w:rFonts w:cs="Times New Roman" w:asciiTheme="minorEastAsia" w:hAnsiTheme="minorEastAsia"/>
          <w:b/>
          <w:sz w:val="28"/>
        </w:rPr>
        <w:t>“中行奖学金”</w:t>
      </w:r>
      <w:r>
        <w:rPr>
          <w:rFonts w:ascii="Times New Roman" w:hAnsi="Times New Roman" w:cs="Times New Roman"/>
          <w:b/>
          <w:sz w:val="28"/>
        </w:rPr>
        <w:t>评选结果公示</w:t>
      </w:r>
    </w:p>
    <w:p>
      <w:pPr>
        <w:spacing w:line="360" w:lineRule="auto"/>
        <w:ind w:firstLine="540"/>
        <w:rPr>
          <w:rFonts w:ascii="Times New Roman" w:hAnsi="Times New Roman" w:cs="Times New Roman"/>
          <w:sz w:val="24"/>
        </w:rPr>
      </w:pPr>
      <w:r>
        <w:rPr>
          <w:rFonts w:ascii="Times New Roman" w:hAnsi="Times New Roman" w:cs="Times New Roman"/>
          <w:sz w:val="24"/>
        </w:rPr>
        <w:t>按照学校有关通知要求，我院对申请201</w:t>
      </w:r>
      <w:r>
        <w:rPr>
          <w:rFonts w:hint="eastAsia" w:ascii="Times New Roman" w:hAnsi="Times New Roman" w:cs="Times New Roman"/>
          <w:sz w:val="24"/>
          <w:lang w:val="en-US" w:eastAsia="zh-CN"/>
        </w:rPr>
        <w:t>7</w:t>
      </w:r>
      <w:r>
        <w:rPr>
          <w:rFonts w:ascii="Times New Roman" w:hAnsi="Times New Roman" w:cs="Times New Roman"/>
          <w:sz w:val="24"/>
        </w:rPr>
        <w:t>年</w:t>
      </w:r>
      <w:r>
        <w:rPr>
          <w:rFonts w:cs="Times New Roman" w:asciiTheme="minorEastAsia" w:hAnsiTheme="minorEastAsia"/>
          <w:sz w:val="24"/>
        </w:rPr>
        <w:t>“中行奖学金”</w:t>
      </w:r>
      <w:r>
        <w:rPr>
          <w:rFonts w:ascii="Times New Roman" w:hAnsi="Times New Roman" w:cs="Times New Roman"/>
          <w:sz w:val="24"/>
        </w:rPr>
        <w:t>的同学进行了评审</w:t>
      </w:r>
      <w:r>
        <w:rPr>
          <w:rFonts w:hint="eastAsia" w:ascii="Times New Roman" w:hAnsi="Times New Roman" w:cs="Times New Roman"/>
          <w:sz w:val="24"/>
        </w:rPr>
        <w:t>，</w:t>
      </w:r>
      <w:r>
        <w:rPr>
          <w:rFonts w:ascii="Times New Roman" w:hAnsi="Times New Roman" w:cs="Times New Roman"/>
          <w:sz w:val="24"/>
        </w:rPr>
        <w:t>评选结果及评选说明</w:t>
      </w:r>
      <w:r>
        <w:rPr>
          <w:rFonts w:hint="eastAsia" w:ascii="Times New Roman" w:hAnsi="Times New Roman" w:cs="Times New Roman"/>
          <w:sz w:val="24"/>
        </w:rPr>
        <w:t>如下：</w:t>
      </w:r>
    </w:p>
    <w:p>
      <w:pPr>
        <w:spacing w:line="360" w:lineRule="auto"/>
        <w:rPr>
          <w:rFonts w:ascii="Times New Roman" w:hAnsi="Times New Roman" w:cs="Times New Roman"/>
          <w:b/>
          <w:sz w:val="28"/>
        </w:rPr>
      </w:pPr>
      <w:r>
        <w:rPr>
          <w:rFonts w:ascii="Times New Roman" w:hAnsi="Times New Roman" w:cs="Times New Roman"/>
          <w:b/>
          <w:sz w:val="28"/>
        </w:rPr>
        <w:t>一、获奖名单</w:t>
      </w:r>
    </w:p>
    <w:p>
      <w:pPr>
        <w:spacing w:line="360" w:lineRule="auto"/>
        <w:ind w:firstLine="540"/>
        <w:rPr>
          <w:rFonts w:ascii="Times New Roman" w:hAnsi="Times New Roman" w:cs="Times New Roman"/>
          <w:sz w:val="24"/>
        </w:rPr>
      </w:pPr>
      <w:r>
        <w:rPr>
          <w:rFonts w:ascii="Times New Roman" w:hAnsi="Times New Roman" w:cs="Times New Roman"/>
          <w:sz w:val="24"/>
        </w:rPr>
        <w:t>201</w:t>
      </w:r>
      <w:r>
        <w:rPr>
          <w:rFonts w:hint="eastAsia" w:ascii="Times New Roman" w:hAnsi="Times New Roman" w:cs="Times New Roman"/>
          <w:sz w:val="24"/>
          <w:lang w:val="en-US" w:eastAsia="zh-CN"/>
        </w:rPr>
        <w:t>7</w:t>
      </w:r>
      <w:r>
        <w:rPr>
          <w:rFonts w:ascii="Times New Roman" w:hAnsi="Times New Roman" w:cs="Times New Roman"/>
          <w:sz w:val="24"/>
        </w:rPr>
        <w:t>年公共管理学院</w:t>
      </w:r>
      <w:r>
        <w:rPr>
          <w:rFonts w:cs="Times New Roman" w:asciiTheme="minorEastAsia" w:hAnsiTheme="minorEastAsia"/>
          <w:sz w:val="24"/>
        </w:rPr>
        <w:t>“中行奖学金”</w:t>
      </w:r>
      <w:r>
        <w:rPr>
          <w:rFonts w:ascii="Times New Roman" w:hAnsi="Times New Roman" w:cs="Times New Roman"/>
          <w:sz w:val="24"/>
        </w:rPr>
        <w:t>获奖人</w:t>
      </w:r>
      <w:r>
        <w:rPr>
          <w:rFonts w:hint="eastAsia" w:ascii="Times New Roman" w:hAnsi="Times New Roman" w:cs="Times New Roman"/>
          <w:sz w:val="24"/>
          <w:lang w:eastAsia="zh-CN"/>
        </w:rPr>
        <w:t>：</w:t>
      </w:r>
      <w:r>
        <w:rPr>
          <w:rFonts w:hint="eastAsia" w:ascii="Times New Roman" w:hAnsi="Times New Roman" w:cs="Times New Roman"/>
          <w:szCs w:val="21"/>
          <w:lang w:eastAsia="zh-CN"/>
        </w:rPr>
        <w:t>晏理慧子</w:t>
      </w:r>
    </w:p>
    <w:p>
      <w:pPr>
        <w:spacing w:line="360" w:lineRule="auto"/>
        <w:rPr>
          <w:rFonts w:ascii="Times New Roman" w:hAnsi="Times New Roman" w:cs="Times New Roman"/>
          <w:b/>
          <w:sz w:val="28"/>
        </w:rPr>
      </w:pPr>
      <w:r>
        <w:rPr>
          <w:rFonts w:ascii="Times New Roman" w:hAnsi="Times New Roman" w:cs="Times New Roman"/>
          <w:b/>
          <w:sz w:val="28"/>
        </w:rPr>
        <w:t>二、评分结果</w:t>
      </w:r>
    </w:p>
    <w:p>
      <w:pPr>
        <w:spacing w:line="360" w:lineRule="auto"/>
        <w:jc w:val="center"/>
        <w:rPr>
          <w:rFonts w:ascii="Times New Roman" w:hAnsi="Times New Roman" w:cs="Times New Roman"/>
          <w:b/>
          <w:sz w:val="24"/>
        </w:rPr>
      </w:pPr>
      <w:r>
        <w:rPr>
          <w:rFonts w:ascii="Times New Roman" w:hAnsi="Times New Roman" w:cs="Times New Roman"/>
          <w:b/>
          <w:sz w:val="24"/>
        </w:rPr>
        <w:t>各班候选人评分结果及排名表</w:t>
      </w:r>
    </w:p>
    <w:tbl>
      <w:tblPr>
        <w:tblStyle w:val="4"/>
        <w:tblW w:w="843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677"/>
        <w:gridCol w:w="1560"/>
        <w:gridCol w:w="1484"/>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Pr>
          <w:p>
            <w:pPr>
              <w:spacing w:line="360" w:lineRule="auto"/>
              <w:jc w:val="center"/>
              <w:rPr>
                <w:rFonts w:ascii="Times New Roman" w:hAnsi="Times New Roman" w:cs="Times New Roman"/>
                <w:b/>
                <w:szCs w:val="21"/>
              </w:rPr>
            </w:pPr>
            <w:r>
              <w:rPr>
                <w:rFonts w:ascii="Times New Roman" w:hAnsi="Times New Roman" w:cs="Times New Roman"/>
                <w:b/>
                <w:szCs w:val="21"/>
              </w:rPr>
              <w:t>姓名</w:t>
            </w:r>
          </w:p>
        </w:tc>
        <w:tc>
          <w:tcPr>
            <w:tcW w:w="677" w:type="dxa"/>
          </w:tcPr>
          <w:p>
            <w:pPr>
              <w:spacing w:line="360" w:lineRule="auto"/>
              <w:jc w:val="center"/>
              <w:rPr>
                <w:rFonts w:ascii="Times New Roman" w:hAnsi="Times New Roman" w:cs="Times New Roman"/>
                <w:b/>
                <w:szCs w:val="21"/>
              </w:rPr>
            </w:pPr>
            <w:r>
              <w:rPr>
                <w:rFonts w:ascii="Times New Roman" w:hAnsi="Times New Roman" w:cs="Times New Roman"/>
                <w:b/>
                <w:szCs w:val="21"/>
              </w:rPr>
              <w:t>班级</w:t>
            </w:r>
          </w:p>
        </w:tc>
        <w:tc>
          <w:tcPr>
            <w:tcW w:w="1560" w:type="dxa"/>
          </w:tcPr>
          <w:p>
            <w:pPr>
              <w:spacing w:line="360" w:lineRule="auto"/>
              <w:jc w:val="center"/>
              <w:rPr>
                <w:rFonts w:ascii="Times New Roman" w:hAnsi="Times New Roman" w:cs="Times New Roman"/>
                <w:b/>
                <w:szCs w:val="21"/>
              </w:rPr>
            </w:pPr>
            <w:r>
              <w:rPr>
                <w:rFonts w:ascii="Times New Roman" w:hAnsi="Times New Roman" w:cs="Times New Roman"/>
                <w:b/>
                <w:szCs w:val="21"/>
              </w:rPr>
              <w:t>思想品德</w:t>
            </w:r>
          </w:p>
        </w:tc>
        <w:tc>
          <w:tcPr>
            <w:tcW w:w="1484" w:type="dxa"/>
          </w:tcPr>
          <w:p>
            <w:pPr>
              <w:spacing w:line="360" w:lineRule="auto"/>
              <w:jc w:val="center"/>
              <w:rPr>
                <w:rFonts w:ascii="Times New Roman" w:hAnsi="Times New Roman" w:cs="Times New Roman"/>
                <w:b/>
                <w:szCs w:val="21"/>
              </w:rPr>
            </w:pPr>
            <w:r>
              <w:rPr>
                <w:rFonts w:ascii="Times New Roman" w:hAnsi="Times New Roman" w:cs="Times New Roman"/>
                <w:b/>
                <w:szCs w:val="21"/>
              </w:rPr>
              <w:t>学术成果</w:t>
            </w:r>
          </w:p>
        </w:tc>
        <w:tc>
          <w:tcPr>
            <w:tcW w:w="1185" w:type="dxa"/>
          </w:tcPr>
          <w:p>
            <w:pPr>
              <w:spacing w:line="360" w:lineRule="auto"/>
              <w:jc w:val="center"/>
              <w:rPr>
                <w:rFonts w:ascii="Times New Roman" w:hAnsi="Times New Roman" w:cs="Times New Roman"/>
                <w:b/>
                <w:szCs w:val="21"/>
              </w:rPr>
            </w:pPr>
            <w:r>
              <w:rPr>
                <w:rFonts w:ascii="Times New Roman" w:hAnsi="Times New Roman" w:cs="Times New Roman"/>
                <w:b/>
                <w:szCs w:val="21"/>
              </w:rPr>
              <w:t>社会实践</w:t>
            </w:r>
          </w:p>
        </w:tc>
        <w:tc>
          <w:tcPr>
            <w:tcW w:w="1185" w:type="dxa"/>
          </w:tcPr>
          <w:p>
            <w:pPr>
              <w:spacing w:line="360" w:lineRule="auto"/>
              <w:jc w:val="center"/>
              <w:rPr>
                <w:rFonts w:ascii="Times New Roman" w:hAnsi="Times New Roman" w:cs="Times New Roman"/>
                <w:b/>
                <w:szCs w:val="21"/>
              </w:rPr>
            </w:pPr>
            <w:r>
              <w:rPr>
                <w:rFonts w:ascii="Times New Roman" w:hAnsi="Times New Roman" w:cs="Times New Roman"/>
                <w:b/>
                <w:szCs w:val="21"/>
              </w:rPr>
              <w:t>总分</w:t>
            </w:r>
          </w:p>
        </w:tc>
        <w:tc>
          <w:tcPr>
            <w:tcW w:w="1186" w:type="dxa"/>
          </w:tcPr>
          <w:p>
            <w:pPr>
              <w:spacing w:line="360" w:lineRule="auto"/>
              <w:jc w:val="center"/>
              <w:rPr>
                <w:rFonts w:ascii="Times New Roman" w:hAnsi="Times New Roman" w:cs="Times New Roman"/>
                <w:b/>
                <w:szCs w:val="21"/>
              </w:rPr>
            </w:pPr>
            <w:r>
              <w:rPr>
                <w:rFonts w:ascii="Times New Roman" w:hAnsi="Times New Roman" w:cs="Times New Roman"/>
                <w:b/>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晏理慧子</w:t>
            </w:r>
          </w:p>
        </w:tc>
        <w:tc>
          <w:tcPr>
            <w:tcW w:w="677" w:type="dxa"/>
          </w:tcPr>
          <w:p>
            <w:pPr>
              <w:spacing w:line="360" w:lineRule="auto"/>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lang w:val="en-US" w:eastAsia="zh-CN"/>
              </w:rPr>
              <w:t>50</w:t>
            </w:r>
            <w:r>
              <w:rPr>
                <w:rFonts w:ascii="Times New Roman" w:hAnsi="Times New Roman" w:cs="Times New Roman"/>
                <w:szCs w:val="21"/>
              </w:rPr>
              <w:t>2</w:t>
            </w:r>
          </w:p>
        </w:tc>
        <w:tc>
          <w:tcPr>
            <w:tcW w:w="1560" w:type="dxa"/>
          </w:tcPr>
          <w:p>
            <w:pPr>
              <w:spacing w:line="360"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0.4</w:t>
            </w:r>
          </w:p>
        </w:tc>
        <w:tc>
          <w:tcPr>
            <w:tcW w:w="1484" w:type="dxa"/>
          </w:tcPr>
          <w:p>
            <w:pPr>
              <w:spacing w:line="360"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2.1</w:t>
            </w:r>
          </w:p>
        </w:tc>
        <w:tc>
          <w:tcPr>
            <w:tcW w:w="1185" w:type="dxa"/>
          </w:tcPr>
          <w:p>
            <w:pPr>
              <w:spacing w:line="360"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0.5</w:t>
            </w:r>
          </w:p>
        </w:tc>
        <w:tc>
          <w:tcPr>
            <w:tcW w:w="1185" w:type="dxa"/>
          </w:tcPr>
          <w:p>
            <w:pPr>
              <w:spacing w:line="360"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c>
          <w:tcPr>
            <w:tcW w:w="1186" w:type="dxa"/>
          </w:tcPr>
          <w:p>
            <w:pPr>
              <w:spacing w:line="360" w:lineRule="auto"/>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vAlign w:val="top"/>
          </w:tcPr>
          <w:p>
            <w:pPr>
              <w:spacing w:line="360" w:lineRule="auto"/>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张阿城</w:t>
            </w:r>
          </w:p>
        </w:tc>
        <w:tc>
          <w:tcPr>
            <w:tcW w:w="677" w:type="dxa"/>
            <w:vAlign w:val="top"/>
          </w:tcPr>
          <w:p>
            <w:pPr>
              <w:spacing w:line="360" w:lineRule="auto"/>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lang w:val="en-US" w:eastAsia="zh-CN"/>
              </w:rPr>
              <w:t>60</w:t>
            </w:r>
            <w:r>
              <w:rPr>
                <w:rFonts w:ascii="Times New Roman" w:hAnsi="Times New Roman" w:cs="Times New Roman"/>
                <w:szCs w:val="21"/>
              </w:rPr>
              <w:t>1</w:t>
            </w:r>
          </w:p>
        </w:tc>
        <w:tc>
          <w:tcPr>
            <w:tcW w:w="1560" w:type="dxa"/>
            <w:vAlign w:val="top"/>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0.37</w:t>
            </w:r>
          </w:p>
        </w:tc>
        <w:tc>
          <w:tcPr>
            <w:tcW w:w="1484" w:type="dxa"/>
            <w:vAlign w:val="top"/>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1.8</w:t>
            </w:r>
          </w:p>
        </w:tc>
        <w:tc>
          <w:tcPr>
            <w:tcW w:w="1185" w:type="dxa"/>
            <w:vAlign w:val="top"/>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0.4</w:t>
            </w:r>
          </w:p>
        </w:tc>
        <w:tc>
          <w:tcPr>
            <w:tcW w:w="1185" w:type="dxa"/>
            <w:vAlign w:val="top"/>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2.57</w:t>
            </w:r>
          </w:p>
        </w:tc>
        <w:tc>
          <w:tcPr>
            <w:tcW w:w="1186" w:type="dxa"/>
            <w:vAlign w:val="top"/>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vAlign w:val="top"/>
          </w:tcPr>
          <w:p>
            <w:pPr>
              <w:spacing w:line="360" w:lineRule="auto"/>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向楠</w:t>
            </w:r>
          </w:p>
        </w:tc>
        <w:tc>
          <w:tcPr>
            <w:tcW w:w="677" w:type="dxa"/>
            <w:vAlign w:val="top"/>
          </w:tcPr>
          <w:p>
            <w:pPr>
              <w:spacing w:line="360" w:lineRule="auto"/>
              <w:jc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lang w:val="en-US" w:eastAsia="zh-CN"/>
              </w:rPr>
              <w:t>6</w:t>
            </w:r>
            <w:r>
              <w:rPr>
                <w:rFonts w:ascii="Times New Roman" w:hAnsi="Times New Roman" w:cs="Times New Roman"/>
                <w:szCs w:val="21"/>
              </w:rPr>
              <w:t>02</w:t>
            </w:r>
          </w:p>
        </w:tc>
        <w:tc>
          <w:tcPr>
            <w:tcW w:w="1560" w:type="dxa"/>
            <w:vAlign w:val="top"/>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0.37</w:t>
            </w:r>
          </w:p>
        </w:tc>
        <w:tc>
          <w:tcPr>
            <w:tcW w:w="1484" w:type="dxa"/>
            <w:vAlign w:val="top"/>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1.2</w:t>
            </w:r>
          </w:p>
        </w:tc>
        <w:tc>
          <w:tcPr>
            <w:tcW w:w="1185" w:type="dxa"/>
            <w:vAlign w:val="top"/>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0.3</w:t>
            </w:r>
          </w:p>
        </w:tc>
        <w:tc>
          <w:tcPr>
            <w:tcW w:w="1185" w:type="dxa"/>
            <w:vAlign w:val="top"/>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1.87</w:t>
            </w:r>
          </w:p>
        </w:tc>
        <w:tc>
          <w:tcPr>
            <w:tcW w:w="1186" w:type="dxa"/>
            <w:vAlign w:val="top"/>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w:t>
            </w:r>
          </w:p>
        </w:tc>
      </w:tr>
    </w:tbl>
    <w:p>
      <w:pPr>
        <w:spacing w:line="360" w:lineRule="auto"/>
        <w:rPr>
          <w:rFonts w:ascii="Times New Roman" w:hAnsi="Times New Roman" w:cs="Times New Roman"/>
          <w:b/>
          <w:szCs w:val="21"/>
        </w:rPr>
      </w:pPr>
      <w:r>
        <w:rPr>
          <w:rFonts w:ascii="Times New Roman" w:hAnsi="Times New Roman" w:cs="Times New Roman"/>
          <w:b/>
          <w:szCs w:val="21"/>
        </w:rPr>
        <w:t>说明：</w:t>
      </w:r>
    </w:p>
    <w:p>
      <w:pPr>
        <w:pStyle w:val="5"/>
        <w:numPr>
          <w:ilvl w:val="0"/>
          <w:numId w:val="1"/>
        </w:numPr>
        <w:spacing w:line="360" w:lineRule="auto"/>
        <w:ind w:left="0" w:firstLine="420"/>
        <w:rPr>
          <w:rFonts w:ascii="Times New Roman" w:hAnsi="Times New Roman" w:cs="Times New Roman"/>
          <w:szCs w:val="21"/>
        </w:rPr>
      </w:pPr>
      <w:r>
        <w:rPr>
          <w:rFonts w:ascii="Times New Roman" w:hAnsi="Times New Roman" w:cs="Times New Roman"/>
          <w:szCs w:val="21"/>
        </w:rPr>
        <w:t>以上候选人为各班评议小组根据各班申请人</w:t>
      </w:r>
      <w:r>
        <w:rPr>
          <w:rFonts w:hint="eastAsia" w:ascii="Times New Roman" w:hAnsi="Times New Roman" w:cs="Times New Roman"/>
          <w:szCs w:val="21"/>
        </w:rPr>
        <w:t>在</w:t>
      </w:r>
      <w:r>
        <w:rPr>
          <w:rFonts w:ascii="Times New Roman" w:hAnsi="Times New Roman" w:cs="Times New Roman"/>
          <w:szCs w:val="21"/>
        </w:rPr>
        <w:t>201</w:t>
      </w:r>
      <w:r>
        <w:rPr>
          <w:rFonts w:hint="eastAsia" w:ascii="Times New Roman" w:hAnsi="Times New Roman" w:cs="Times New Roman"/>
          <w:szCs w:val="21"/>
          <w:lang w:val="en-US" w:eastAsia="zh-CN"/>
        </w:rPr>
        <w:t>7</w:t>
      </w:r>
      <w:r>
        <w:rPr>
          <w:rFonts w:ascii="Times New Roman" w:hAnsi="Times New Roman" w:cs="Times New Roman"/>
          <w:szCs w:val="21"/>
        </w:rPr>
        <w:t>年学业奖学金</w:t>
      </w:r>
      <w:r>
        <w:rPr>
          <w:rFonts w:hint="eastAsia" w:ascii="Times New Roman" w:hAnsi="Times New Roman" w:cs="Times New Roman"/>
          <w:szCs w:val="21"/>
        </w:rPr>
        <w:t>评选</w:t>
      </w:r>
      <w:r>
        <w:rPr>
          <w:rFonts w:ascii="Times New Roman" w:hAnsi="Times New Roman" w:cs="Times New Roman"/>
          <w:szCs w:val="21"/>
        </w:rPr>
        <w:t>时的得分情况、</w:t>
      </w:r>
      <w:r>
        <w:rPr>
          <w:rFonts w:hint="eastAsia" w:ascii="Times New Roman" w:hAnsi="Times New Roman" w:cs="Times New Roman"/>
          <w:szCs w:val="21"/>
        </w:rPr>
        <w:t>20</w:t>
      </w:r>
      <w:r>
        <w:rPr>
          <w:rFonts w:hint="eastAsia" w:ascii="Times New Roman" w:hAnsi="Times New Roman" w:cs="Times New Roman"/>
          <w:szCs w:val="21"/>
          <w:lang w:val="en-US" w:eastAsia="zh-CN"/>
        </w:rPr>
        <w:t>17</w:t>
      </w:r>
      <w:r>
        <w:rPr>
          <w:rFonts w:hint="eastAsia" w:ascii="Times New Roman" w:hAnsi="Times New Roman" w:cs="Times New Roman"/>
          <w:szCs w:val="21"/>
        </w:rPr>
        <w:t>年</w:t>
      </w:r>
      <w:r>
        <w:rPr>
          <w:rFonts w:cs="Times New Roman" w:asciiTheme="minorEastAsia" w:hAnsiTheme="minorEastAsia"/>
          <w:szCs w:val="21"/>
        </w:rPr>
        <w:t>“</w:t>
      </w:r>
      <w:r>
        <w:rPr>
          <w:rFonts w:hint="eastAsia" w:cs="Times New Roman" w:asciiTheme="minorEastAsia" w:hAnsiTheme="minorEastAsia"/>
          <w:szCs w:val="21"/>
        </w:rPr>
        <w:t>中行奖学金</w:t>
      </w:r>
      <w:r>
        <w:rPr>
          <w:rFonts w:cs="Times New Roman" w:asciiTheme="minorEastAsia" w:hAnsiTheme="minorEastAsia"/>
          <w:szCs w:val="21"/>
        </w:rPr>
        <w:t>”</w:t>
      </w:r>
      <w:r>
        <w:rPr>
          <w:rFonts w:ascii="Times New Roman" w:hAnsi="Times New Roman" w:cs="Times New Roman"/>
          <w:szCs w:val="21"/>
        </w:rPr>
        <w:t>学校评选规定及学院评分规则所评定的每班得分最高者。</w:t>
      </w:r>
    </w:p>
    <w:p>
      <w:pPr>
        <w:pStyle w:val="5"/>
        <w:numPr>
          <w:ilvl w:val="0"/>
          <w:numId w:val="1"/>
        </w:numPr>
        <w:spacing w:line="360" w:lineRule="auto"/>
        <w:ind w:left="0" w:firstLine="420"/>
        <w:rPr>
          <w:rFonts w:ascii="Times New Roman" w:hAnsi="Times New Roman" w:cs="Times New Roman"/>
          <w:szCs w:val="21"/>
        </w:rPr>
      </w:pPr>
      <w:r>
        <w:rPr>
          <w:rFonts w:ascii="Times New Roman" w:hAnsi="Times New Roman" w:cs="Times New Roman"/>
          <w:szCs w:val="21"/>
        </w:rPr>
        <w:t>1501班无人申请。</w:t>
      </w:r>
    </w:p>
    <w:p>
      <w:pPr>
        <w:pStyle w:val="5"/>
        <w:numPr>
          <w:ilvl w:val="0"/>
          <w:numId w:val="1"/>
        </w:numPr>
        <w:spacing w:line="360" w:lineRule="auto"/>
        <w:ind w:left="0" w:firstLine="420"/>
        <w:rPr>
          <w:rFonts w:ascii="Times New Roman" w:hAnsi="Times New Roman" w:cs="Times New Roman"/>
          <w:szCs w:val="21"/>
        </w:rPr>
      </w:pPr>
      <w:r>
        <w:rPr>
          <w:rFonts w:ascii="Times New Roman" w:hAnsi="Times New Roman" w:cs="Times New Roman"/>
          <w:szCs w:val="21"/>
        </w:rPr>
        <w:t>201</w:t>
      </w:r>
      <w:r>
        <w:rPr>
          <w:rFonts w:hint="eastAsia" w:ascii="Times New Roman" w:hAnsi="Times New Roman" w:cs="Times New Roman"/>
          <w:szCs w:val="21"/>
          <w:lang w:val="en-US" w:eastAsia="zh-CN"/>
        </w:rPr>
        <w:t>7</w:t>
      </w:r>
      <w:r>
        <w:rPr>
          <w:rFonts w:ascii="Times New Roman" w:hAnsi="Times New Roman" w:cs="Times New Roman"/>
          <w:szCs w:val="21"/>
        </w:rPr>
        <w:t>年</w:t>
      </w:r>
      <w:r>
        <w:rPr>
          <w:rFonts w:cs="Times New Roman" w:asciiTheme="minorEastAsia" w:hAnsiTheme="minorEastAsia"/>
          <w:szCs w:val="21"/>
        </w:rPr>
        <w:t>“中行奖学金”</w:t>
      </w:r>
      <w:r>
        <w:rPr>
          <w:rFonts w:ascii="Times New Roman" w:hAnsi="Times New Roman" w:cs="Times New Roman"/>
          <w:szCs w:val="21"/>
        </w:rPr>
        <w:t>分配给公共管理学院研究生1个名额，因此选取以上候选人中排名第一者作为获奖人。</w:t>
      </w:r>
    </w:p>
    <w:p>
      <w:pPr>
        <w:spacing w:line="360" w:lineRule="auto"/>
        <w:rPr>
          <w:rFonts w:ascii="Times New Roman" w:hAnsi="Times New Roman" w:cs="Times New Roman"/>
          <w:sz w:val="28"/>
        </w:rPr>
      </w:pPr>
      <w:r>
        <w:rPr>
          <w:rFonts w:ascii="Times New Roman" w:hAnsi="Times New Roman" w:cs="Times New Roman"/>
          <w:b/>
          <w:sz w:val="28"/>
        </w:rPr>
        <w:t>三、201</w:t>
      </w:r>
      <w:r>
        <w:rPr>
          <w:rFonts w:hint="eastAsia" w:ascii="Times New Roman" w:hAnsi="Times New Roman" w:cs="Times New Roman"/>
          <w:b/>
          <w:sz w:val="28"/>
          <w:lang w:val="en-US" w:eastAsia="zh-CN"/>
        </w:rPr>
        <w:t>7</w:t>
      </w:r>
      <w:r>
        <w:rPr>
          <w:rFonts w:ascii="Times New Roman" w:hAnsi="Times New Roman" w:cs="Times New Roman"/>
          <w:b/>
          <w:sz w:val="28"/>
        </w:rPr>
        <w:t>年“中行奖学金”评选说明</w:t>
      </w:r>
    </w:p>
    <w:p>
      <w:pPr>
        <w:spacing w:line="360" w:lineRule="auto"/>
        <w:rPr>
          <w:rFonts w:ascii="Times New Roman" w:hAnsi="Times New Roman" w:cs="Times New Roman"/>
          <w:b/>
          <w:sz w:val="24"/>
          <w:szCs w:val="24"/>
        </w:rPr>
      </w:pPr>
      <w:r>
        <w:rPr>
          <w:rFonts w:ascii="Times New Roman" w:hAnsi="Times New Roman" w:cs="Times New Roman"/>
          <w:b/>
          <w:sz w:val="24"/>
          <w:szCs w:val="24"/>
        </w:rPr>
        <w:t>（一）参评对象</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基本学制内非定向硕士</w:t>
      </w:r>
      <w:r>
        <w:rPr>
          <w:rFonts w:ascii="Times New Roman" w:hAnsi="Times New Roman" w:cs="Times New Roman"/>
          <w:sz w:val="24"/>
          <w:szCs w:val="24"/>
        </w:rPr>
        <w:t>研究生</w:t>
      </w:r>
    </w:p>
    <w:p>
      <w:pPr>
        <w:spacing w:line="360" w:lineRule="auto"/>
        <w:rPr>
          <w:rFonts w:ascii="Times New Roman" w:hAnsi="Times New Roman" w:cs="Times New Roman"/>
          <w:b/>
          <w:sz w:val="24"/>
          <w:szCs w:val="24"/>
        </w:rPr>
      </w:pPr>
      <w:r>
        <w:rPr>
          <w:rFonts w:ascii="Times New Roman" w:hAnsi="Times New Roman" w:cs="Times New Roman"/>
          <w:b/>
          <w:sz w:val="24"/>
          <w:szCs w:val="24"/>
        </w:rPr>
        <w:t>（二）参评</w:t>
      </w:r>
      <w:r>
        <w:rPr>
          <w:rFonts w:hint="eastAsia" w:ascii="Times New Roman" w:hAnsi="Times New Roman" w:cs="Times New Roman"/>
          <w:b/>
          <w:sz w:val="24"/>
          <w:szCs w:val="24"/>
          <w:lang w:eastAsia="zh-CN"/>
        </w:rPr>
        <w:t>学术</w:t>
      </w:r>
      <w:r>
        <w:rPr>
          <w:rFonts w:ascii="Times New Roman" w:hAnsi="Times New Roman" w:cs="Times New Roman"/>
          <w:b/>
          <w:sz w:val="24"/>
          <w:szCs w:val="24"/>
        </w:rPr>
        <w:t>条件</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前一学年综合成绩排名名列本专业前30%；有在校创业经历或者创业项目，或积极参加社会工作、社会实践、社会公益活动，或在校内外做好人好事（如见义勇为等）被校内外媒体刊出、具有较强社会影响的学生，综合成绩排名可放宽至前50%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2、有以下情况之一者不能获得奖学金：</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（1）违反校纪受到处分者；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（2）在学生工作中滥用职权者；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（3）有不及格记录者；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（4）其他有损学校荣誉等行为者。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3、本年度获得国家奖学金的研究生原则上不再参评本次中行奖学金。</w:t>
      </w:r>
    </w:p>
    <w:p>
      <w:pPr>
        <w:spacing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4、原则上同一学生不能重复获得同一年度的各项社会捐助的专项奖学金。</w:t>
      </w:r>
    </w:p>
    <w:p>
      <w:pPr>
        <w:spacing w:line="360" w:lineRule="auto"/>
        <w:rPr>
          <w:rFonts w:ascii="Times New Roman" w:hAnsi="Times New Roman" w:cs="Times New Roman"/>
          <w:sz w:val="24"/>
        </w:rPr>
      </w:pPr>
      <w:r>
        <w:rPr>
          <w:rFonts w:ascii="Times New Roman" w:hAnsi="Times New Roman" w:cs="Times New Roman"/>
          <w:b/>
          <w:sz w:val="24"/>
        </w:rPr>
        <w:t>（三）公共管理学院评定规则（适用于2016年</w:t>
      </w:r>
      <w:r>
        <w:rPr>
          <w:rFonts w:cs="Times New Roman" w:asciiTheme="minorEastAsia" w:hAnsiTheme="minorEastAsia"/>
          <w:b/>
          <w:sz w:val="24"/>
        </w:rPr>
        <w:t>“中行奖学金”</w:t>
      </w:r>
      <w:r>
        <w:rPr>
          <w:rFonts w:ascii="Times New Roman" w:hAnsi="Times New Roman" w:cs="Times New Roman"/>
          <w:b/>
          <w:sz w:val="24"/>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班级及学院评定以201</w:t>
      </w:r>
      <w:r>
        <w:rPr>
          <w:rFonts w:hint="eastAsia" w:ascii="Times New Roman" w:hAnsi="Times New Roman" w:cs="Times New Roman"/>
          <w:sz w:val="24"/>
          <w:lang w:val="en-US" w:eastAsia="zh-CN"/>
        </w:rPr>
        <w:t>7</w:t>
      </w:r>
      <w:r>
        <w:rPr>
          <w:rFonts w:ascii="Times New Roman" w:hAnsi="Times New Roman" w:cs="Times New Roman"/>
          <w:sz w:val="24"/>
        </w:rPr>
        <w:t>年公共管理学院学业奖学金结果为依据。</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1、对于专业</w:t>
      </w:r>
      <w:r>
        <w:rPr>
          <w:rFonts w:hint="eastAsia" w:ascii="Times New Roman" w:hAnsi="Times New Roman" w:cs="Times New Roman"/>
          <w:sz w:val="24"/>
          <w:lang w:eastAsia="zh-CN"/>
        </w:rPr>
        <w:t>、年级</w:t>
      </w:r>
      <w:r>
        <w:rPr>
          <w:rFonts w:ascii="Times New Roman" w:hAnsi="Times New Roman" w:cs="Times New Roman"/>
          <w:sz w:val="24"/>
        </w:rPr>
        <w:t>相同的学生，选取本专业学业奖学金综合排名最高的</w:t>
      </w:r>
      <w:r>
        <w:rPr>
          <w:rFonts w:hint="eastAsia" w:ascii="Times New Roman" w:hAnsi="Times New Roman" w:cs="Times New Roman"/>
          <w:sz w:val="24"/>
        </w:rPr>
        <w:t>一</w:t>
      </w:r>
      <w:r>
        <w:rPr>
          <w:rFonts w:ascii="Times New Roman" w:hAnsi="Times New Roman" w:cs="Times New Roman"/>
          <w:sz w:val="24"/>
        </w:rPr>
        <w:t>位。</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2、对于专业</w:t>
      </w:r>
      <w:r>
        <w:rPr>
          <w:rFonts w:hint="eastAsia" w:ascii="Times New Roman" w:hAnsi="Times New Roman" w:cs="Times New Roman"/>
          <w:sz w:val="24"/>
          <w:lang w:eastAsia="zh-CN"/>
        </w:rPr>
        <w:t>、年级</w:t>
      </w:r>
      <w:r>
        <w:rPr>
          <w:rFonts w:ascii="Times New Roman" w:hAnsi="Times New Roman" w:cs="Times New Roman"/>
          <w:sz w:val="24"/>
        </w:rPr>
        <w:t>不同的学生，对其学业奖学金中除</w:t>
      </w:r>
      <w:r>
        <w:rPr>
          <w:rFonts w:cs="Times New Roman" w:asciiTheme="minorEastAsia" w:hAnsiTheme="minorEastAsia"/>
          <w:sz w:val="24"/>
        </w:rPr>
        <w:t>“学习成绩”外的“思想品德”、“学术成果”、“社会实践”</w:t>
      </w:r>
      <w:r>
        <w:rPr>
          <w:rFonts w:ascii="Times New Roman" w:hAnsi="Times New Roman" w:cs="Times New Roman"/>
          <w:sz w:val="24"/>
        </w:rPr>
        <w:t>三部分的分数进行综合排名，选取排名最高的</w:t>
      </w:r>
      <w:r>
        <w:rPr>
          <w:rFonts w:hint="eastAsia" w:ascii="Times New Roman" w:hAnsi="Times New Roman" w:cs="Times New Roman"/>
          <w:sz w:val="24"/>
        </w:rPr>
        <w:t>一</w:t>
      </w:r>
      <w:r>
        <w:rPr>
          <w:rFonts w:ascii="Times New Roman" w:hAnsi="Times New Roman" w:cs="Times New Roman"/>
          <w:sz w:val="24"/>
        </w:rPr>
        <w:t>位。</w:t>
      </w:r>
    </w:p>
    <w:p>
      <w:pPr>
        <w:spacing w:line="360" w:lineRule="auto"/>
        <w:rPr>
          <w:rFonts w:asciiTheme="minorEastAsia" w:hAnsiTheme="minorEastAsia"/>
          <w:sz w:val="24"/>
        </w:rPr>
      </w:pPr>
    </w:p>
    <w:p>
      <w:pPr>
        <w:spacing w:line="360" w:lineRule="auto"/>
        <w:jc w:val="right"/>
        <w:rPr>
          <w:rFonts w:asciiTheme="minorEastAsia" w:hAnsiTheme="minorEastAsia"/>
          <w:sz w:val="24"/>
        </w:rPr>
      </w:pPr>
      <w:r>
        <w:rPr>
          <w:rFonts w:hint="eastAsia" w:asciiTheme="minorEastAsia" w:hAnsiTheme="minorEastAsia"/>
          <w:sz w:val="24"/>
        </w:rPr>
        <w:t>公共管理学院</w:t>
      </w:r>
      <w:r>
        <w:rPr>
          <w:rFonts w:asciiTheme="minorEastAsia" w:hAnsiTheme="minorEastAsia"/>
          <w:sz w:val="24"/>
        </w:rPr>
        <w:t>研究生工作办公室</w:t>
      </w:r>
    </w:p>
    <w:p>
      <w:pPr>
        <w:spacing w:line="360" w:lineRule="auto"/>
        <w:ind w:right="480"/>
        <w:jc w:val="right"/>
        <w:rPr>
          <w:rFonts w:asciiTheme="minorEastAsia" w:hAnsiTheme="minorEastAsia"/>
          <w:sz w:val="24"/>
        </w:rPr>
      </w:pPr>
      <w:r>
        <w:rPr>
          <w:rFonts w:asciiTheme="minorEastAsia" w:hAnsiTheme="minorEastAsia"/>
          <w:sz w:val="24"/>
        </w:rPr>
        <w:t>201</w:t>
      </w:r>
      <w:r>
        <w:rPr>
          <w:rFonts w:hint="eastAsia" w:asciiTheme="minorEastAsia" w:hAnsiTheme="minorEastAsia"/>
          <w:sz w:val="24"/>
          <w:lang w:val="en-US" w:eastAsia="zh-CN"/>
        </w:rPr>
        <w:t>7</w:t>
      </w:r>
      <w:r>
        <w:rPr>
          <w:rFonts w:hint="eastAsia" w:asciiTheme="minorEastAsia" w:hAnsiTheme="minorEastAsia"/>
          <w:sz w:val="24"/>
        </w:rPr>
        <w:t>年11月</w:t>
      </w:r>
      <w:r>
        <w:rPr>
          <w:rFonts w:hint="eastAsia" w:asciiTheme="minorEastAsia" w:hAnsiTheme="minorEastAsia"/>
          <w:sz w:val="24"/>
          <w:lang w:val="en-US" w:eastAsia="zh-CN"/>
        </w:rPr>
        <w:t>20</w:t>
      </w:r>
      <w:bookmarkStart w:id="0" w:name="_GoBack"/>
      <w:bookmarkEnd w:id="0"/>
      <w:r>
        <w:rPr>
          <w:rFonts w:hint="eastAsia" w:asciiTheme="minorEastAsia" w:hAnsiTheme="minor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0612A"/>
    <w:multiLevelType w:val="multilevel"/>
    <w:tmpl w:val="40B061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44"/>
    <w:rsid w:val="00152617"/>
    <w:rsid w:val="00174740"/>
    <w:rsid w:val="00194FB3"/>
    <w:rsid w:val="001B04D2"/>
    <w:rsid w:val="001F7604"/>
    <w:rsid w:val="00394207"/>
    <w:rsid w:val="003F587D"/>
    <w:rsid w:val="004171CF"/>
    <w:rsid w:val="004764F5"/>
    <w:rsid w:val="004D2F8C"/>
    <w:rsid w:val="00500869"/>
    <w:rsid w:val="0052117B"/>
    <w:rsid w:val="00583EB1"/>
    <w:rsid w:val="005E2BE3"/>
    <w:rsid w:val="00697BAD"/>
    <w:rsid w:val="00765B76"/>
    <w:rsid w:val="00812D5C"/>
    <w:rsid w:val="00894044"/>
    <w:rsid w:val="008D4E10"/>
    <w:rsid w:val="00916C32"/>
    <w:rsid w:val="009844D7"/>
    <w:rsid w:val="009B1050"/>
    <w:rsid w:val="009B4367"/>
    <w:rsid w:val="00A01690"/>
    <w:rsid w:val="00A47F44"/>
    <w:rsid w:val="00BA706C"/>
    <w:rsid w:val="00C47A30"/>
    <w:rsid w:val="00C8635A"/>
    <w:rsid w:val="00CD426F"/>
    <w:rsid w:val="00DF26B7"/>
    <w:rsid w:val="00E2297F"/>
    <w:rsid w:val="00E25284"/>
    <w:rsid w:val="00E351AA"/>
    <w:rsid w:val="00F34ED3"/>
    <w:rsid w:val="00F44BF2"/>
    <w:rsid w:val="00F55FD2"/>
    <w:rsid w:val="00F705CF"/>
    <w:rsid w:val="00FC2112"/>
    <w:rsid w:val="243D1454"/>
    <w:rsid w:val="39732965"/>
    <w:rsid w:val="486E41AF"/>
    <w:rsid w:val="773D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2</Pages>
  <Words>128</Words>
  <Characters>735</Characters>
  <Lines>6</Lines>
  <Paragraphs>1</Paragraphs>
  <ScaleCrop>false</ScaleCrop>
  <LinksUpToDate>false</LinksUpToDate>
  <CharactersWithSpaces>862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2016-11-15T14:24:00Z</dcterms:created>
  <dc:creator>deeplm</dc:creator>
  <cp:lastModifiedBy>LYY</cp:lastModifiedBy>
  <dcterms:modified xsi:type="dcterms:W3CDTF">2017-11-20T06:51:18Z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