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8"/>
        </w:rPr>
      </w:pPr>
      <w:r>
        <w:rPr>
          <w:rFonts w:ascii="Times New Roman" w:hAnsi="Times New Roman" w:cs="Times New Roman"/>
          <w:b/>
          <w:sz w:val="28"/>
        </w:rPr>
        <w:t>201</w:t>
      </w:r>
      <w:r>
        <w:rPr>
          <w:rFonts w:hint="eastAsia" w:ascii="Times New Roman" w:hAnsi="Times New Roman" w:cs="Times New Roman"/>
          <w:b/>
          <w:sz w:val="28"/>
          <w:lang w:val="en-US" w:eastAsia="zh-CN"/>
        </w:rPr>
        <w:t>7</w:t>
      </w:r>
      <w:r>
        <w:rPr>
          <w:rFonts w:ascii="Times New Roman" w:hAnsi="Times New Roman" w:cs="Times New Roman"/>
          <w:b/>
          <w:sz w:val="28"/>
        </w:rPr>
        <w:t>年公共管理学院</w:t>
      </w:r>
      <w:r>
        <w:rPr>
          <w:rFonts w:cs="Times New Roman" w:asciiTheme="minorEastAsia" w:hAnsiTheme="minorEastAsia"/>
          <w:b/>
          <w:sz w:val="28"/>
        </w:rPr>
        <w:t>“</w:t>
      </w:r>
      <w:r>
        <w:rPr>
          <w:rFonts w:hint="eastAsia" w:cs="Times New Roman" w:asciiTheme="minorEastAsia" w:hAnsiTheme="minorEastAsia"/>
          <w:b/>
          <w:sz w:val="28"/>
          <w:lang w:val="en-US" w:eastAsia="zh-CN"/>
        </w:rPr>
        <w:t>紫光励学金</w:t>
      </w:r>
      <w:r>
        <w:rPr>
          <w:rFonts w:cs="Times New Roman" w:asciiTheme="minorEastAsia" w:hAnsiTheme="minorEastAsia"/>
          <w:b/>
          <w:sz w:val="28"/>
        </w:rPr>
        <w:t>”</w:t>
      </w:r>
      <w:r>
        <w:rPr>
          <w:rFonts w:ascii="Times New Roman" w:hAnsi="Times New Roman" w:cs="Times New Roman"/>
          <w:b/>
          <w:sz w:val="28"/>
        </w:rPr>
        <w:t>评选结果公示</w:t>
      </w:r>
    </w:p>
    <w:p>
      <w:pPr>
        <w:spacing w:line="360" w:lineRule="auto"/>
        <w:ind w:firstLine="540"/>
        <w:rPr>
          <w:rFonts w:ascii="Times New Roman" w:hAnsi="Times New Roman" w:cs="Times New Roman"/>
          <w:sz w:val="24"/>
        </w:rPr>
      </w:pPr>
      <w:r>
        <w:rPr>
          <w:rFonts w:ascii="Times New Roman" w:hAnsi="Times New Roman" w:cs="Times New Roman"/>
          <w:sz w:val="24"/>
        </w:rPr>
        <w:t>按照学校有关通知要求，我院对申请201</w:t>
      </w:r>
      <w:r>
        <w:rPr>
          <w:rFonts w:hint="eastAsia" w:ascii="Times New Roman" w:hAnsi="Times New Roman" w:cs="Times New Roman"/>
          <w:sz w:val="24"/>
          <w:lang w:val="en-US" w:eastAsia="zh-CN"/>
        </w:rPr>
        <w:t>7</w:t>
      </w:r>
      <w:r>
        <w:rPr>
          <w:rFonts w:ascii="Times New Roman" w:hAnsi="Times New Roman" w:cs="Times New Roman"/>
          <w:sz w:val="24"/>
        </w:rPr>
        <w:t>年</w:t>
      </w:r>
      <w:r>
        <w:rPr>
          <w:rFonts w:cs="Times New Roman" w:asciiTheme="minorEastAsia" w:hAnsiTheme="minorEastAsia"/>
          <w:sz w:val="24"/>
        </w:rPr>
        <w:t>“</w:t>
      </w:r>
      <w:r>
        <w:rPr>
          <w:rFonts w:hint="eastAsia" w:cs="Times New Roman" w:asciiTheme="minorEastAsia" w:hAnsiTheme="minorEastAsia"/>
          <w:sz w:val="24"/>
          <w:lang w:val="en-US" w:eastAsia="zh-CN"/>
        </w:rPr>
        <w:t>紫光励学金</w:t>
      </w:r>
      <w:r>
        <w:rPr>
          <w:rFonts w:cs="Times New Roman" w:asciiTheme="minorEastAsia" w:hAnsiTheme="minorEastAsia"/>
          <w:sz w:val="24"/>
        </w:rPr>
        <w:t>”</w:t>
      </w:r>
      <w:r>
        <w:rPr>
          <w:rFonts w:ascii="Times New Roman" w:hAnsi="Times New Roman" w:cs="Times New Roman"/>
          <w:sz w:val="24"/>
        </w:rPr>
        <w:t>的同学进行了评审</w:t>
      </w:r>
      <w:r>
        <w:rPr>
          <w:rFonts w:hint="eastAsia" w:ascii="Times New Roman" w:hAnsi="Times New Roman" w:cs="Times New Roman"/>
          <w:sz w:val="24"/>
        </w:rPr>
        <w:t>，</w:t>
      </w:r>
      <w:r>
        <w:rPr>
          <w:rFonts w:ascii="Times New Roman" w:hAnsi="Times New Roman" w:cs="Times New Roman"/>
          <w:sz w:val="24"/>
        </w:rPr>
        <w:t>评选结果及评选说明</w:t>
      </w:r>
      <w:r>
        <w:rPr>
          <w:rFonts w:hint="eastAsia" w:ascii="Times New Roman" w:hAnsi="Times New Roman" w:cs="Times New Roman"/>
          <w:sz w:val="24"/>
        </w:rPr>
        <w:t>如下：</w:t>
      </w:r>
    </w:p>
    <w:p>
      <w:pPr>
        <w:spacing w:line="360" w:lineRule="auto"/>
        <w:rPr>
          <w:rFonts w:ascii="Times New Roman" w:hAnsi="Times New Roman" w:cs="Times New Roman"/>
          <w:b/>
          <w:sz w:val="28"/>
        </w:rPr>
      </w:pPr>
      <w:r>
        <w:rPr>
          <w:rFonts w:ascii="Times New Roman" w:hAnsi="Times New Roman" w:cs="Times New Roman"/>
          <w:b/>
          <w:sz w:val="28"/>
        </w:rPr>
        <w:t>一、获</w:t>
      </w:r>
      <w:r>
        <w:rPr>
          <w:rFonts w:hint="eastAsia" w:ascii="Times New Roman" w:hAnsi="Times New Roman" w:cs="Times New Roman"/>
          <w:b/>
          <w:sz w:val="28"/>
          <w:lang w:val="en-US" w:eastAsia="zh-CN"/>
        </w:rPr>
        <w:t>评</w:t>
      </w:r>
      <w:r>
        <w:rPr>
          <w:rFonts w:ascii="Times New Roman" w:hAnsi="Times New Roman" w:cs="Times New Roman"/>
          <w:b/>
          <w:sz w:val="28"/>
        </w:rPr>
        <w:t>名单</w:t>
      </w:r>
    </w:p>
    <w:tbl>
      <w:tblPr>
        <w:tblStyle w:val="4"/>
        <w:tblW w:w="8155" w:type="dxa"/>
        <w:jc w:val="center"/>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932"/>
        <w:gridCol w:w="1440"/>
        <w:gridCol w:w="1590"/>
        <w:gridCol w:w="1438"/>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tcPr>
          <w:p>
            <w:pPr>
              <w:spacing w:line="360" w:lineRule="auto"/>
              <w:jc w:val="center"/>
              <w:rPr>
                <w:rFonts w:ascii="Times New Roman" w:hAnsi="Times New Roman" w:cs="Times New Roman"/>
                <w:b/>
                <w:szCs w:val="21"/>
              </w:rPr>
            </w:pPr>
            <w:r>
              <w:rPr>
                <w:rFonts w:ascii="Times New Roman" w:hAnsi="Times New Roman" w:cs="Times New Roman"/>
                <w:b/>
                <w:szCs w:val="21"/>
              </w:rPr>
              <w:t>姓名</w:t>
            </w:r>
          </w:p>
        </w:tc>
        <w:tc>
          <w:tcPr>
            <w:tcW w:w="932" w:type="dxa"/>
          </w:tcPr>
          <w:p>
            <w:pPr>
              <w:spacing w:line="360" w:lineRule="auto"/>
              <w:jc w:val="center"/>
              <w:rPr>
                <w:rFonts w:hint="eastAsia" w:ascii="Times New Roman" w:hAnsi="Times New Roman" w:cs="Times New Roman" w:eastAsiaTheme="minorEastAsia"/>
                <w:b/>
                <w:szCs w:val="21"/>
                <w:lang w:val="en-US" w:eastAsia="zh-CN"/>
              </w:rPr>
            </w:pPr>
            <w:r>
              <w:rPr>
                <w:rFonts w:hint="eastAsia" w:ascii="Times New Roman" w:hAnsi="Times New Roman" w:cs="Times New Roman"/>
                <w:b/>
                <w:szCs w:val="21"/>
                <w:lang w:val="en-US" w:eastAsia="zh-CN"/>
              </w:rPr>
              <w:t>年级</w:t>
            </w:r>
          </w:p>
        </w:tc>
        <w:tc>
          <w:tcPr>
            <w:tcW w:w="1440" w:type="dxa"/>
          </w:tcPr>
          <w:p>
            <w:pPr>
              <w:spacing w:line="360" w:lineRule="auto"/>
              <w:jc w:val="center"/>
              <w:rPr>
                <w:rFonts w:hint="eastAsia" w:ascii="Times New Roman" w:hAnsi="Times New Roman" w:cs="Times New Roman" w:eastAsiaTheme="minorEastAsia"/>
                <w:b/>
                <w:szCs w:val="21"/>
                <w:lang w:val="en-US" w:eastAsia="zh-CN"/>
              </w:rPr>
            </w:pPr>
            <w:r>
              <w:rPr>
                <w:rFonts w:hint="eastAsia" w:ascii="Times New Roman" w:hAnsi="Times New Roman" w:cs="Times New Roman"/>
                <w:b/>
                <w:szCs w:val="21"/>
                <w:lang w:val="en-US" w:eastAsia="zh-CN"/>
              </w:rPr>
              <w:t>专业</w:t>
            </w:r>
          </w:p>
        </w:tc>
        <w:tc>
          <w:tcPr>
            <w:tcW w:w="1590" w:type="dxa"/>
          </w:tcPr>
          <w:p>
            <w:pPr>
              <w:spacing w:line="360" w:lineRule="auto"/>
              <w:jc w:val="center"/>
              <w:rPr>
                <w:rFonts w:hint="eastAsia" w:ascii="Times New Roman" w:hAnsi="Times New Roman" w:cs="Times New Roman"/>
                <w:b/>
                <w:szCs w:val="21"/>
                <w:lang w:val="en-US" w:eastAsia="zh-CN"/>
              </w:rPr>
            </w:pPr>
            <w:r>
              <w:rPr>
                <w:rFonts w:hint="eastAsia" w:ascii="Times New Roman" w:hAnsi="Times New Roman" w:cs="Times New Roman"/>
                <w:b/>
                <w:szCs w:val="21"/>
                <w:lang w:val="en-US" w:eastAsia="zh-CN"/>
              </w:rPr>
              <w:t>学号</w:t>
            </w:r>
          </w:p>
        </w:tc>
        <w:tc>
          <w:tcPr>
            <w:tcW w:w="1438" w:type="dxa"/>
          </w:tcPr>
          <w:p>
            <w:pPr>
              <w:spacing w:line="360" w:lineRule="auto"/>
              <w:jc w:val="center"/>
              <w:rPr>
                <w:rFonts w:hint="eastAsia" w:ascii="Times New Roman" w:hAnsi="Times New Roman" w:cs="Times New Roman" w:eastAsiaTheme="minorEastAsia"/>
                <w:b/>
                <w:szCs w:val="21"/>
                <w:lang w:val="en-US" w:eastAsia="zh-CN"/>
              </w:rPr>
            </w:pPr>
            <w:r>
              <w:rPr>
                <w:rFonts w:hint="eastAsia" w:ascii="Times New Roman" w:hAnsi="Times New Roman" w:cs="Times New Roman"/>
                <w:b/>
                <w:szCs w:val="21"/>
                <w:lang w:val="en-US" w:eastAsia="zh-CN"/>
              </w:rPr>
              <w:t>上学年成绩</w:t>
            </w:r>
          </w:p>
        </w:tc>
        <w:tc>
          <w:tcPr>
            <w:tcW w:w="1431" w:type="dxa"/>
          </w:tcPr>
          <w:p>
            <w:pPr>
              <w:spacing w:line="360" w:lineRule="auto"/>
              <w:jc w:val="center"/>
              <w:rPr>
                <w:rFonts w:hint="eastAsia" w:ascii="Times New Roman" w:hAnsi="Times New Roman" w:cs="Times New Roman" w:eastAsiaTheme="minorEastAsia"/>
                <w:b/>
                <w:szCs w:val="21"/>
                <w:lang w:val="en-US" w:eastAsia="zh-CN"/>
              </w:rPr>
            </w:pPr>
            <w:r>
              <w:rPr>
                <w:rFonts w:hint="eastAsia" w:ascii="Times New Roman" w:hAnsi="Times New Roman" w:cs="Times New Roman"/>
                <w:b/>
                <w:szCs w:val="21"/>
                <w:lang w:val="en-US" w:eastAsia="zh-CN"/>
              </w:rPr>
              <w:t>专业排名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tcPr>
          <w:p>
            <w:pPr>
              <w:spacing w:line="360"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赵贯玲</w:t>
            </w:r>
          </w:p>
        </w:tc>
        <w:tc>
          <w:tcPr>
            <w:tcW w:w="932" w:type="dxa"/>
          </w:tcPr>
          <w:p>
            <w:pPr>
              <w:spacing w:line="360"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2015</w:t>
            </w:r>
          </w:p>
        </w:tc>
        <w:tc>
          <w:tcPr>
            <w:tcW w:w="1440" w:type="dxa"/>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行政管理</w:t>
            </w:r>
          </w:p>
        </w:tc>
        <w:tc>
          <w:tcPr>
            <w:tcW w:w="1590" w:type="dxa"/>
            <w:vAlign w:val="center"/>
          </w:tcPr>
          <w:p>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2"/>
                <w:szCs w:val="22"/>
                <w:u w:val="none"/>
                <w:lang w:val="en-US" w:eastAsia="zh-CN" w:bidi="ar"/>
              </w:rPr>
              <w:t>1510020115</w:t>
            </w:r>
          </w:p>
        </w:tc>
        <w:tc>
          <w:tcPr>
            <w:tcW w:w="1438" w:type="dxa"/>
            <w:vAlign w:val="center"/>
          </w:tcPr>
          <w:p>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2"/>
                <w:szCs w:val="22"/>
                <w:u w:val="none"/>
                <w:lang w:val="en-US" w:eastAsia="zh-CN" w:bidi="ar"/>
              </w:rPr>
              <w:t>91</w:t>
            </w:r>
          </w:p>
        </w:tc>
        <w:tc>
          <w:tcPr>
            <w:tcW w:w="1431" w:type="dxa"/>
            <w:vAlign w:val="center"/>
          </w:tcPr>
          <w:p>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tcPr>
          <w:p>
            <w:pPr>
              <w:spacing w:line="360"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成鸿庚</w:t>
            </w:r>
          </w:p>
        </w:tc>
        <w:tc>
          <w:tcPr>
            <w:tcW w:w="932" w:type="dxa"/>
          </w:tcPr>
          <w:p>
            <w:pPr>
              <w:spacing w:line="360"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2016</w:t>
            </w:r>
          </w:p>
        </w:tc>
        <w:tc>
          <w:tcPr>
            <w:tcW w:w="1440" w:type="dxa"/>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color w:val="000000"/>
                <w:kern w:val="0"/>
                <w:sz w:val="22"/>
                <w:szCs w:val="22"/>
                <w:u w:val="none"/>
                <w:lang w:val="en-US" w:eastAsia="zh-CN" w:bidi="ar"/>
              </w:rPr>
              <w:t>行政管理</w:t>
            </w:r>
          </w:p>
        </w:tc>
        <w:tc>
          <w:tcPr>
            <w:tcW w:w="1590" w:type="dxa"/>
            <w:vAlign w:val="center"/>
          </w:tcPr>
          <w:p>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2"/>
                <w:szCs w:val="22"/>
                <w:u w:val="none"/>
                <w:lang w:val="en-US" w:eastAsia="zh-CN" w:bidi="ar"/>
              </w:rPr>
              <w:t>2016111471</w:t>
            </w:r>
          </w:p>
        </w:tc>
        <w:tc>
          <w:tcPr>
            <w:tcW w:w="1438" w:type="dxa"/>
            <w:vAlign w:val="center"/>
          </w:tcPr>
          <w:p>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2"/>
                <w:szCs w:val="22"/>
                <w:u w:val="none"/>
                <w:lang w:val="en-US" w:eastAsia="zh-CN" w:bidi="ar"/>
              </w:rPr>
              <w:t>88.39</w:t>
            </w:r>
          </w:p>
        </w:tc>
        <w:tc>
          <w:tcPr>
            <w:tcW w:w="1431" w:type="dxa"/>
            <w:vAlign w:val="center"/>
          </w:tcPr>
          <w:p>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2"/>
                <w:szCs w:val="22"/>
                <w:u w:val="none"/>
                <w:lang w:val="en-US" w:eastAsia="zh-CN" w:bidi="ar"/>
              </w:rPr>
              <w:t>3</w:t>
            </w:r>
          </w:p>
        </w:tc>
      </w:tr>
    </w:tbl>
    <w:p>
      <w:pPr>
        <w:spacing w:line="360" w:lineRule="auto"/>
        <w:rPr>
          <w:rFonts w:ascii="Times New Roman" w:hAnsi="Times New Roman" w:cs="Times New Roman"/>
          <w:b/>
          <w:szCs w:val="21"/>
        </w:rPr>
      </w:pPr>
      <w:r>
        <w:rPr>
          <w:rFonts w:ascii="Times New Roman" w:hAnsi="Times New Roman" w:cs="Times New Roman"/>
          <w:b/>
          <w:szCs w:val="21"/>
        </w:rPr>
        <w:t>说明：</w:t>
      </w:r>
    </w:p>
    <w:p>
      <w:pPr>
        <w:pStyle w:val="5"/>
        <w:numPr>
          <w:ilvl w:val="0"/>
          <w:numId w:val="1"/>
        </w:numPr>
        <w:spacing w:line="360" w:lineRule="auto"/>
        <w:ind w:left="0" w:firstLine="420"/>
        <w:rPr>
          <w:rFonts w:ascii="Times New Roman" w:hAnsi="Times New Roman" w:cs="Times New Roman"/>
          <w:szCs w:val="21"/>
        </w:rPr>
      </w:pPr>
      <w:r>
        <w:rPr>
          <w:rFonts w:hint="eastAsia" w:ascii="Times New Roman" w:hAnsi="Times New Roman" w:cs="Times New Roman"/>
          <w:szCs w:val="21"/>
          <w:lang w:val="en-US" w:eastAsia="zh-CN"/>
        </w:rPr>
        <w:t>2015级和2016级分别由辅导员召集，各班班长（党支书）组成评议小组，召开评选会议，综合学业情况、科研实践情况、思想品德情况、家庭经济情况进行评选</w:t>
      </w:r>
      <w:r>
        <w:rPr>
          <w:rFonts w:ascii="Times New Roman" w:hAnsi="Times New Roman" w:cs="Times New Roman"/>
          <w:szCs w:val="21"/>
        </w:rPr>
        <w:t>。</w:t>
      </w:r>
    </w:p>
    <w:p>
      <w:pPr>
        <w:pStyle w:val="5"/>
        <w:numPr>
          <w:ilvl w:val="0"/>
          <w:numId w:val="1"/>
        </w:numPr>
        <w:spacing w:line="360" w:lineRule="auto"/>
        <w:ind w:left="0" w:firstLine="420"/>
        <w:rPr>
          <w:rFonts w:ascii="Times New Roman" w:hAnsi="Times New Roman" w:cs="Times New Roman"/>
          <w:szCs w:val="21"/>
        </w:rPr>
      </w:pPr>
      <w:r>
        <w:rPr>
          <w:rFonts w:ascii="Times New Roman" w:hAnsi="Times New Roman" w:cs="Times New Roman"/>
          <w:szCs w:val="21"/>
        </w:rPr>
        <w:t>201</w:t>
      </w:r>
      <w:r>
        <w:rPr>
          <w:rFonts w:hint="eastAsia" w:ascii="Times New Roman" w:hAnsi="Times New Roman" w:cs="Times New Roman"/>
          <w:szCs w:val="21"/>
          <w:lang w:val="en-US" w:eastAsia="zh-CN"/>
        </w:rPr>
        <w:t>7</w:t>
      </w:r>
      <w:r>
        <w:rPr>
          <w:rFonts w:ascii="Times New Roman" w:hAnsi="Times New Roman" w:cs="Times New Roman"/>
          <w:szCs w:val="21"/>
        </w:rPr>
        <w:t>年</w:t>
      </w:r>
      <w:r>
        <w:rPr>
          <w:rFonts w:cs="Times New Roman" w:asciiTheme="minorEastAsia" w:hAnsiTheme="minorEastAsia"/>
          <w:szCs w:val="21"/>
        </w:rPr>
        <w:t>“</w:t>
      </w:r>
      <w:r>
        <w:rPr>
          <w:rFonts w:hint="eastAsia" w:cs="Times New Roman" w:asciiTheme="minorEastAsia" w:hAnsiTheme="minorEastAsia"/>
          <w:szCs w:val="21"/>
          <w:lang w:val="en-US" w:eastAsia="zh-CN"/>
        </w:rPr>
        <w:t>紫光励学</w:t>
      </w:r>
      <w:r>
        <w:rPr>
          <w:rFonts w:cs="Times New Roman" w:asciiTheme="minorEastAsia" w:hAnsiTheme="minorEastAsia"/>
          <w:szCs w:val="21"/>
        </w:rPr>
        <w:t>金”</w:t>
      </w:r>
      <w:r>
        <w:rPr>
          <w:rFonts w:ascii="Times New Roman" w:hAnsi="Times New Roman" w:cs="Times New Roman"/>
          <w:szCs w:val="21"/>
        </w:rPr>
        <w:t>分配给公共管理学院研究生</w:t>
      </w:r>
      <w:r>
        <w:rPr>
          <w:rFonts w:hint="eastAsia" w:ascii="Times New Roman" w:hAnsi="Times New Roman" w:cs="Times New Roman"/>
          <w:szCs w:val="21"/>
          <w:lang w:val="en-US" w:eastAsia="zh-CN"/>
        </w:rPr>
        <w:t>2</w:t>
      </w:r>
      <w:r>
        <w:rPr>
          <w:rFonts w:ascii="Times New Roman" w:hAnsi="Times New Roman" w:cs="Times New Roman"/>
          <w:szCs w:val="21"/>
        </w:rPr>
        <w:t>个名额，</w:t>
      </w:r>
      <w:r>
        <w:rPr>
          <w:rFonts w:hint="eastAsia" w:ascii="Times New Roman" w:hAnsi="Times New Roman" w:cs="Times New Roman"/>
          <w:szCs w:val="21"/>
          <w:lang w:val="en-US" w:eastAsia="zh-CN"/>
        </w:rPr>
        <w:t>根据比例划分到各年级，2015级一名，2016级一名</w:t>
      </w:r>
      <w:r>
        <w:rPr>
          <w:rFonts w:ascii="Times New Roman" w:hAnsi="Times New Roman" w:cs="Times New Roman"/>
          <w:szCs w:val="21"/>
        </w:rPr>
        <w:t>。</w:t>
      </w:r>
    </w:p>
    <w:p>
      <w:pPr>
        <w:spacing w:line="360" w:lineRule="auto"/>
        <w:rPr>
          <w:rFonts w:ascii="Times New Roman" w:hAnsi="Times New Roman" w:cs="Times New Roman"/>
          <w:sz w:val="28"/>
        </w:rPr>
      </w:pPr>
      <w:r>
        <w:rPr>
          <w:rFonts w:hint="eastAsia" w:ascii="Times New Roman" w:hAnsi="Times New Roman" w:cs="Times New Roman"/>
          <w:b/>
          <w:sz w:val="28"/>
          <w:lang w:val="en-US" w:eastAsia="zh-CN"/>
        </w:rPr>
        <w:t>二</w:t>
      </w:r>
      <w:r>
        <w:rPr>
          <w:rFonts w:ascii="Times New Roman" w:hAnsi="Times New Roman" w:cs="Times New Roman"/>
          <w:b/>
          <w:sz w:val="28"/>
        </w:rPr>
        <w:t>、201</w:t>
      </w:r>
      <w:r>
        <w:rPr>
          <w:rFonts w:hint="eastAsia" w:ascii="Times New Roman" w:hAnsi="Times New Roman" w:cs="Times New Roman"/>
          <w:b/>
          <w:sz w:val="28"/>
          <w:lang w:val="en-US" w:eastAsia="zh-CN"/>
        </w:rPr>
        <w:t>7</w:t>
      </w:r>
      <w:r>
        <w:rPr>
          <w:rFonts w:ascii="Times New Roman" w:hAnsi="Times New Roman" w:cs="Times New Roman"/>
          <w:b/>
          <w:sz w:val="28"/>
        </w:rPr>
        <w:t>年“</w:t>
      </w:r>
      <w:r>
        <w:rPr>
          <w:rFonts w:hint="eastAsia" w:ascii="Times New Roman" w:hAnsi="Times New Roman" w:cs="Times New Roman"/>
          <w:b/>
          <w:sz w:val="28"/>
          <w:lang w:val="en-US" w:eastAsia="zh-CN"/>
        </w:rPr>
        <w:t>紫光励学</w:t>
      </w:r>
      <w:r>
        <w:rPr>
          <w:rFonts w:ascii="Times New Roman" w:hAnsi="Times New Roman" w:cs="Times New Roman"/>
          <w:b/>
          <w:sz w:val="28"/>
        </w:rPr>
        <w:t>金”评选说明</w:t>
      </w:r>
    </w:p>
    <w:p>
      <w:pPr>
        <w:spacing w:line="360" w:lineRule="auto"/>
        <w:rPr>
          <w:rFonts w:ascii="Times New Roman" w:hAnsi="Times New Roman" w:cs="Times New Roman"/>
          <w:b/>
          <w:sz w:val="24"/>
          <w:szCs w:val="24"/>
        </w:rPr>
      </w:pPr>
      <w:r>
        <w:rPr>
          <w:rFonts w:ascii="Times New Roman" w:hAnsi="Times New Roman" w:cs="Times New Roman"/>
          <w:b/>
          <w:sz w:val="24"/>
          <w:szCs w:val="24"/>
        </w:rPr>
        <w:t>（一）参评对象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201</w:t>
      </w:r>
      <w:r>
        <w:rPr>
          <w:rFonts w:hint="eastAsia" w:ascii="Times New Roman" w:hAnsi="Times New Roman" w:cs="Times New Roman"/>
          <w:sz w:val="24"/>
          <w:szCs w:val="24"/>
          <w:lang w:val="en-US" w:eastAsia="zh-CN"/>
        </w:rPr>
        <w:t>5</w:t>
      </w:r>
      <w:r>
        <w:rPr>
          <w:rFonts w:ascii="Times New Roman" w:hAnsi="Times New Roman" w:cs="Times New Roman"/>
          <w:sz w:val="24"/>
          <w:szCs w:val="24"/>
        </w:rPr>
        <w:t>、201</w:t>
      </w:r>
      <w:r>
        <w:rPr>
          <w:rFonts w:hint="eastAsia" w:ascii="Times New Roman" w:hAnsi="Times New Roman" w:cs="Times New Roman"/>
          <w:sz w:val="24"/>
          <w:szCs w:val="24"/>
          <w:lang w:val="en-US" w:eastAsia="zh-CN"/>
        </w:rPr>
        <w:t>6</w:t>
      </w:r>
      <w:r>
        <w:rPr>
          <w:rFonts w:ascii="Times New Roman" w:hAnsi="Times New Roman" w:cs="Times New Roman"/>
          <w:sz w:val="24"/>
          <w:szCs w:val="24"/>
        </w:rPr>
        <w:t>级全日制</w:t>
      </w:r>
      <w:r>
        <w:rPr>
          <w:rFonts w:hint="eastAsia" w:ascii="Times New Roman" w:hAnsi="Times New Roman" w:cs="Times New Roman"/>
          <w:sz w:val="24"/>
          <w:szCs w:val="24"/>
          <w:lang w:val="en-US" w:eastAsia="zh-CN"/>
        </w:rPr>
        <w:t>非定向在校</w:t>
      </w:r>
      <w:r>
        <w:rPr>
          <w:rFonts w:ascii="Times New Roman" w:hAnsi="Times New Roman" w:cs="Times New Roman"/>
          <w:sz w:val="24"/>
          <w:szCs w:val="24"/>
        </w:rPr>
        <w:t>硕士研究生</w:t>
      </w:r>
      <w:r>
        <w:rPr>
          <w:rFonts w:hint="eastAsia" w:ascii="Times New Roman" w:hAnsi="Times New Roman" w:cs="Times New Roman"/>
          <w:sz w:val="24"/>
          <w:szCs w:val="24"/>
          <w:lang w:val="en-US" w:eastAsia="zh-CN"/>
        </w:rPr>
        <w:t>中品学兼优的家庭经济困难学生。已获评本年度研究生国家奖学金的研究生原则上不再参评本年度紫光励学金。</w:t>
      </w:r>
    </w:p>
    <w:p>
      <w:pPr>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参评条件</w:t>
      </w:r>
    </w:p>
    <w:p>
      <w:pPr>
        <w:numPr>
          <w:numId w:val="0"/>
        </w:numPr>
        <w:spacing w:line="360" w:lineRule="auto"/>
        <w:rPr>
          <w:rFonts w:hint="eastAsia" w:ascii="Times New Roman" w:hAnsi="Times New Roman" w:cs="Times New Roman" w:eastAsiaTheme="minorEastAsia"/>
          <w:b/>
          <w:sz w:val="24"/>
          <w:szCs w:val="24"/>
          <w:lang w:val="en-US" w:eastAsia="zh-CN"/>
        </w:rPr>
      </w:pPr>
      <w:r>
        <w:rPr>
          <w:rFonts w:hint="eastAsia" w:ascii="Times New Roman" w:hAnsi="Times New Roman" w:cs="Times New Roman"/>
          <w:b/>
          <w:sz w:val="24"/>
          <w:szCs w:val="24"/>
          <w:lang w:val="en-US" w:eastAsia="zh-CN"/>
        </w:rPr>
        <w:t xml:space="preserve">    </w:t>
      </w:r>
      <w:r>
        <w:rPr>
          <w:rFonts w:hint="eastAsia" w:ascii="Times New Roman" w:hAnsi="Times New Roman" w:cs="Times New Roman"/>
          <w:b w:val="0"/>
          <w:bCs/>
          <w:sz w:val="24"/>
          <w:szCs w:val="24"/>
          <w:lang w:val="en-US" w:eastAsia="zh-CN"/>
        </w:rPr>
        <w:t>研究生同时符合以下条件的，可以申报紫光励学金：</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热爱社会主义祖国，拥护中国共产党领导；遵守法律和校纪校规；尊敬师长，团结同学，关心集体，诚实守信；勤奋学习，积极上进。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lang w:val="en-US" w:eastAsia="zh-CN"/>
        </w:rPr>
        <w:t>家庭经济困难；或研究生本人（或家庭）遭遇突发重大意外事故，导致家庭经济困难。</w:t>
      </w:r>
    </w:p>
    <w:p>
      <w:pPr>
        <w:spacing w:line="360" w:lineRule="auto"/>
        <w:ind w:firstLine="480" w:firstLineChars="200"/>
        <w:rPr>
          <w:rFonts w:hint="eastAsia" w:ascii="Times New Roman" w:hAnsi="Times New Roman" w:cs="Times New Roman"/>
          <w:sz w:val="24"/>
          <w:szCs w:val="24"/>
          <w:lang w:val="en-US" w:eastAsia="zh-CN"/>
        </w:rPr>
      </w:pPr>
      <w:r>
        <w:rPr>
          <w:rFonts w:ascii="Times New Roman" w:hAnsi="Times New Roman" w:cs="Times New Roman"/>
          <w:sz w:val="24"/>
          <w:szCs w:val="24"/>
        </w:rPr>
        <w:t>3、</w:t>
      </w:r>
      <w:r>
        <w:rPr>
          <w:rFonts w:hint="eastAsia" w:ascii="Times New Roman" w:hAnsi="Times New Roman" w:cs="Times New Roman"/>
          <w:sz w:val="24"/>
          <w:szCs w:val="24"/>
          <w:lang w:val="en-US" w:eastAsia="zh-CN"/>
        </w:rPr>
        <w:t>在校期间学习认真刻苦，成绩优秀，上学年所修课程的加权平均成绩不低于80分，且在本年级本专业排名前30%。</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szCs w:val="24"/>
          <w:lang w:val="en-US" w:eastAsia="zh-CN"/>
        </w:rPr>
        <w:t>4、积极参加社会实践、社会工作和社会公益活动。</w:t>
      </w:r>
    </w:p>
    <w:p>
      <w:pPr>
        <w:spacing w:line="360" w:lineRule="auto"/>
        <w:jc w:val="right"/>
        <w:rPr>
          <w:rFonts w:asciiTheme="minorEastAsia" w:hAnsiTheme="minorEastAsia"/>
          <w:sz w:val="24"/>
        </w:rPr>
      </w:pPr>
      <w:bookmarkStart w:id="0" w:name="_GoBack"/>
      <w:bookmarkEnd w:id="0"/>
      <w:r>
        <w:rPr>
          <w:rFonts w:hint="eastAsia" w:asciiTheme="minorEastAsia" w:hAnsiTheme="minorEastAsia"/>
          <w:sz w:val="24"/>
        </w:rPr>
        <w:t>公共管理学院</w:t>
      </w:r>
      <w:r>
        <w:rPr>
          <w:rFonts w:asciiTheme="minorEastAsia" w:hAnsiTheme="minorEastAsia"/>
          <w:sz w:val="24"/>
        </w:rPr>
        <w:t>研究生工作办公室</w:t>
      </w:r>
    </w:p>
    <w:p>
      <w:pPr>
        <w:spacing w:line="360" w:lineRule="auto"/>
        <w:ind w:right="480"/>
        <w:jc w:val="right"/>
        <w:rPr>
          <w:rFonts w:asciiTheme="minorEastAsia" w:hAnsiTheme="minorEastAsia"/>
          <w:sz w:val="24"/>
        </w:rPr>
      </w:pPr>
      <w:r>
        <w:rPr>
          <w:rFonts w:asciiTheme="minorEastAsia" w:hAnsiTheme="minorEastAsia"/>
          <w:sz w:val="24"/>
        </w:rPr>
        <w:t>201</w:t>
      </w:r>
      <w:r>
        <w:rPr>
          <w:rFonts w:hint="eastAsia" w:asciiTheme="minorEastAsia" w:hAnsiTheme="minorEastAsia"/>
          <w:sz w:val="24"/>
          <w:lang w:val="en-US" w:eastAsia="zh-CN"/>
        </w:rPr>
        <w:t>7</w:t>
      </w:r>
      <w:r>
        <w:rPr>
          <w:rFonts w:hint="eastAsia" w:asciiTheme="minorEastAsia" w:hAnsiTheme="minorEastAsia"/>
          <w:sz w:val="24"/>
        </w:rPr>
        <w:t>年11月1</w:t>
      </w:r>
      <w:r>
        <w:rPr>
          <w:rFonts w:hint="eastAsia" w:asciiTheme="minorEastAsia" w:hAnsiTheme="minorEastAsia"/>
          <w:sz w:val="24"/>
          <w:lang w:val="en-US" w:eastAsia="zh-CN"/>
        </w:rPr>
        <w:t>3</w:t>
      </w:r>
      <w:r>
        <w:rPr>
          <w:rFonts w:hint="eastAsia" w:asciiTheme="minorEastAsia" w:hAnsiTheme="minor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0612A"/>
    <w:multiLevelType w:val="multilevel"/>
    <w:tmpl w:val="40B061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0949EC"/>
    <w:multiLevelType w:val="singleLevel"/>
    <w:tmpl w:val="5A0949E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44"/>
    <w:rsid w:val="00152617"/>
    <w:rsid w:val="00174740"/>
    <w:rsid w:val="00194FB3"/>
    <w:rsid w:val="001B04D2"/>
    <w:rsid w:val="001F7604"/>
    <w:rsid w:val="00394207"/>
    <w:rsid w:val="003F587D"/>
    <w:rsid w:val="004171CF"/>
    <w:rsid w:val="004764F5"/>
    <w:rsid w:val="004D2F8C"/>
    <w:rsid w:val="00500869"/>
    <w:rsid w:val="0052117B"/>
    <w:rsid w:val="00583EB1"/>
    <w:rsid w:val="005E2BE3"/>
    <w:rsid w:val="00697BAD"/>
    <w:rsid w:val="00765B76"/>
    <w:rsid w:val="00812D5C"/>
    <w:rsid w:val="00894044"/>
    <w:rsid w:val="008D4E10"/>
    <w:rsid w:val="00916C32"/>
    <w:rsid w:val="009844D7"/>
    <w:rsid w:val="009B1050"/>
    <w:rsid w:val="009B4367"/>
    <w:rsid w:val="00A01690"/>
    <w:rsid w:val="00A47F44"/>
    <w:rsid w:val="00BA706C"/>
    <w:rsid w:val="00C47A30"/>
    <w:rsid w:val="00C8635A"/>
    <w:rsid w:val="00CD426F"/>
    <w:rsid w:val="00DF26B7"/>
    <w:rsid w:val="00E2297F"/>
    <w:rsid w:val="00E25284"/>
    <w:rsid w:val="00E351AA"/>
    <w:rsid w:val="00F34ED3"/>
    <w:rsid w:val="00F44BF2"/>
    <w:rsid w:val="00F55FD2"/>
    <w:rsid w:val="00F705CF"/>
    <w:rsid w:val="00FC2112"/>
    <w:rsid w:val="3C51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2</Pages>
  <Words>128</Words>
  <Characters>735</Characters>
  <Lines>6</Lines>
  <Paragraphs>1</Paragraphs>
  <TotalTime>0</TotalTime>
  <ScaleCrop>false</ScaleCrop>
  <LinksUpToDate>false</LinksUpToDate>
  <CharactersWithSpaces>862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2016-11-15T14:24:00Z</dcterms:created>
  <dc:creator>deeplm</dc:creator>
  <cp:lastModifiedBy>若弦1371090360</cp:lastModifiedBy>
  <dcterms:modified xsi:type="dcterms:W3CDTF">2017-11-13T07:41:06Z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